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4"/>
          <w:u w:val="none"/>
        </w:rPr>
        <w:t xml:space="preserve">苏州市相城区政府采购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4"/>
        </w:rPr>
        <w:t xml:space="preserve">竞争性磋商采购文件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采购编号：</w:t>
      </w:r>
      <w:r>
        <w:rPr>
          <w:rFonts w:ascii="Times New Roman" w:hAnsi="Times New Roman" w:eastAsia="Times New Roman" w:cs="Times New Roman"/>
          <w:color w:val="000000"/>
          <w:sz w:val="30"/>
        </w:rPr>
        <w:t xml:space="preserve">JSZC-320507-PMJS-C2026-0016</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采购单位：苏州市相城区望亭镇人民政府</w:t>
      </w:r>
      <w:r/>
    </w:p>
    <w:p>
      <w:pPr>
        <w:ind w:left="2397" w:right="0" w:hanging="1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采购项目：杨家沿路北延工程配套</w:t>
      </w:r>
      <w:r>
        <w:rPr>
          <w:rFonts w:ascii="Times New Roman" w:hAnsi="Times New Roman" w:eastAsia="Times New Roman" w:cs="Times New Roman"/>
          <w:color w:val="000000"/>
          <w:sz w:val="30"/>
        </w:rPr>
        <w:t xml:space="preserve">10KV</w:t>
      </w:r>
      <w:r>
        <w:rPr>
          <w:rFonts w:ascii="SimSun" w:hAnsi="SimSun" w:eastAsia="SimSun" w:cs="SimSun"/>
          <w:color w:val="000000"/>
          <w:sz w:val="30"/>
        </w:rPr>
        <w:t xml:space="preserve">电缆通道工程</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类别：工程类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62100" cy="12001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594466" name=""/>
                        <pic:cNvPicPr>
                          <a:picLocks noChangeAspect="1"/>
                        </pic:cNvPicPr>
                        <pic:nvPr/>
                      </pic:nvPicPr>
                      <pic:blipFill>
                        <a:blip/>
                        <a:stretch/>
                      </pic:blipFill>
                      <pic:spPr bwMode="auto">
                        <a:xfrm>
                          <a:off x="0" y="0"/>
                          <a:ext cx="156209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3.0pt;height:94.5pt;mso-wrap-distance-left:0.0pt;mso-wrap-distance-top:0.0pt;mso-wrap-distance-right:0.0pt;mso-wrap-distance-bottom:0.0pt;" stroked="false">
                <v:path textboxrect="0,0,0,0"/>
              </v:shape>
            </w:pict>
          </mc:Fallback>
        </mc:AlternateContent>
      </w: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2026年05月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spacing w:before="0" w:after="0" w:line="85" w:lineRule="atLeast"/>
        <w:tabs>
          <w:tab w:val="left" w:pos="830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826" w:history="1">
        <w:r>
          <w:rPr>
            <w:rStyle w:val="1020"/>
            <w:rFonts w:ascii="SimSun" w:hAnsi="SimSun" w:eastAsia="SimSun" w:cs="SimSun"/>
            <w:color w:val="0000ee"/>
            <w:sz w:val="32"/>
            <w:u w:val="single"/>
          </w:rPr>
          <w:t xml:space="preserve">前附表</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214" w:history="1">
        <w:r>
          <w:rPr>
            <w:rStyle w:val="1020"/>
            <w:rFonts w:ascii="SimSun" w:hAnsi="SimSun" w:eastAsia="SimSun" w:cs="SimSun"/>
            <w:color w:val="0000ee"/>
            <w:sz w:val="32"/>
            <w:u w:val="single"/>
          </w:rPr>
          <w:t xml:space="preserve">第一章</w:t>
        </w:r>
        <w:r>
          <w:rPr>
            <w:rStyle w:val="1020"/>
            <w:rFonts w:ascii="SimSun" w:hAnsi="SimSun" w:eastAsia="SimSun" w:cs="SimSun"/>
            <w:color w:val="0000ee"/>
            <w:sz w:val="32"/>
            <w:u w:val="none"/>
          </w:rPr>
          <w:t xml:space="preserve"> </w:t>
        </w:r>
        <w:r>
          <w:rPr>
            <w:rStyle w:val="1020"/>
            <w:rFonts w:ascii="SimSun" w:hAnsi="SimSun" w:eastAsia="SimSun" w:cs="SimSun"/>
            <w:color w:val="0000ee"/>
            <w:sz w:val="32"/>
            <w:u w:val="single"/>
          </w:rPr>
          <w:t xml:space="preserve">磋商邀请函</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1223" w:history="1">
        <w:r>
          <w:rPr>
            <w:rStyle w:val="1020"/>
            <w:rFonts w:ascii="SimSun" w:hAnsi="SimSun" w:eastAsia="SimSun" w:cs="SimSun"/>
            <w:color w:val="0000ee"/>
            <w:sz w:val="32"/>
            <w:u w:val="single"/>
          </w:rPr>
          <w:t xml:space="preserve">第二章磋商响应文件格式</w:t>
          <w:tab/>
        </w:r>
      </w:hyperlink>
      <w:r/>
      <w:r/>
    </w:p>
    <w:p>
      <w:pPr>
        <w:ind w:left="0" w:right="0" w:firstLine="0"/>
        <w:jc w:val="both"/>
        <w:spacing w:before="260" w:after="260" w:line="113" w:lineRule="atLeast"/>
        <w:tabs>
          <w:tab w:val="left" w:pos="907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427" w:history="1">
        <w:r>
          <w:rPr>
            <w:rStyle w:val="1020"/>
            <w:rFonts w:ascii="SimSun" w:hAnsi="SimSun" w:eastAsia="SimSun" w:cs="SimSun"/>
            <w:color w:val="0000ee"/>
            <w:sz w:val="32"/>
            <w:u w:val="single"/>
          </w:rPr>
          <w:t xml:space="preserve">第三章</w:t>
        </w:r>
        <w:r>
          <w:rPr>
            <w:rStyle w:val="1020"/>
            <w:rFonts w:ascii="SimSun" w:hAnsi="SimSun" w:eastAsia="SimSun" w:cs="SimSun"/>
            <w:color w:val="0000ee"/>
            <w:sz w:val="32"/>
            <w:u w:val="none"/>
          </w:rPr>
          <w:t xml:space="preserve"> </w:t>
        </w:r>
        <w:r>
          <w:rPr>
            <w:rStyle w:val="1020"/>
            <w:rFonts w:ascii="SimSun" w:hAnsi="SimSun" w:eastAsia="SimSun" w:cs="SimSun"/>
            <w:color w:val="0000ee"/>
            <w:sz w:val="32"/>
            <w:u w:val="single"/>
          </w:rPr>
          <w:t xml:space="preserve">采购内容</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7013" w:history="1">
        <w:r>
          <w:rPr>
            <w:rStyle w:val="1020"/>
            <w:rFonts w:ascii="SimSun" w:hAnsi="SimSun" w:eastAsia="SimSun" w:cs="SimSun"/>
            <w:color w:val="0000ee"/>
            <w:sz w:val="32"/>
            <w:u w:val="single"/>
          </w:rPr>
          <w:t xml:space="preserve">第四章</w:t>
        </w:r>
        <w:r>
          <w:rPr>
            <w:rStyle w:val="1020"/>
            <w:rFonts w:ascii="SimSun" w:hAnsi="SimSun" w:eastAsia="SimSun" w:cs="SimSun"/>
            <w:color w:val="0000ee"/>
            <w:sz w:val="32"/>
            <w:u w:val="none"/>
          </w:rPr>
          <w:t xml:space="preserve"> </w:t>
        </w:r>
        <w:r>
          <w:rPr>
            <w:rStyle w:val="1020"/>
            <w:rFonts w:ascii="SimSun" w:hAnsi="SimSun" w:eastAsia="SimSun" w:cs="SimSun"/>
            <w:color w:val="0000ee"/>
            <w:sz w:val="32"/>
            <w:u w:val="single"/>
          </w:rPr>
          <w:t xml:space="preserve">技术管理要求</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5956" w:history="1">
        <w:r>
          <w:rPr>
            <w:rStyle w:val="1020"/>
            <w:rFonts w:ascii="SimSun" w:hAnsi="SimSun" w:eastAsia="SimSun" w:cs="SimSun"/>
            <w:color w:val="0000ee"/>
            <w:sz w:val="32"/>
            <w:u w:val="single"/>
          </w:rPr>
          <w:t xml:space="preserve">第五章</w:t>
        </w:r>
        <w:r>
          <w:rPr>
            <w:rStyle w:val="1020"/>
            <w:rFonts w:ascii="SimSun" w:hAnsi="SimSun" w:eastAsia="SimSun" w:cs="SimSun"/>
            <w:color w:val="0000ee"/>
            <w:sz w:val="32"/>
            <w:u w:val="none"/>
          </w:rPr>
          <w:t xml:space="preserve"> </w:t>
        </w:r>
        <w:r>
          <w:rPr>
            <w:rStyle w:val="1020"/>
            <w:rFonts w:ascii="SimSun" w:hAnsi="SimSun" w:eastAsia="SimSun" w:cs="SimSun"/>
            <w:color w:val="0000ee"/>
            <w:sz w:val="32"/>
            <w:u w:val="single"/>
          </w:rPr>
          <w:t xml:space="preserve">合同主要条款</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9740" w:history="1">
        <w:r>
          <w:rPr>
            <w:rStyle w:val="1020"/>
            <w:rFonts w:ascii="SimSun" w:hAnsi="SimSun" w:eastAsia="SimSun" w:cs="SimSun"/>
            <w:color w:val="0000ee"/>
            <w:sz w:val="32"/>
            <w:u w:val="single"/>
          </w:rPr>
          <w:t xml:space="preserve">第六章</w:t>
        </w:r>
        <w:r>
          <w:rPr>
            <w:rStyle w:val="1020"/>
            <w:rFonts w:ascii="SimSun" w:hAnsi="SimSun" w:eastAsia="SimSun" w:cs="SimSun"/>
            <w:color w:val="0000ee"/>
            <w:sz w:val="32"/>
            <w:u w:val="none"/>
          </w:rPr>
          <w:t xml:space="preserve"> </w:t>
        </w:r>
        <w:r>
          <w:rPr>
            <w:rStyle w:val="1020"/>
            <w:rFonts w:ascii="SimSun" w:hAnsi="SimSun" w:eastAsia="SimSun" w:cs="SimSun"/>
            <w:color w:val="0000ee"/>
            <w:sz w:val="32"/>
            <w:u w:val="single"/>
          </w:rPr>
          <w:t xml:space="preserve">评审办法</w:t>
          <w:tab/>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751"/>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51"/>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前附表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305"/>
        <w:gridCol w:w="6083"/>
      </w:tblGrid>
      <w:tr>
        <w:trPr>
          <w:trHeight w:val="4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说明与要求</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杨家沿路北延工程配套10KV电缆通道工程</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苏州市相城区望亭镇</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包工包料</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为苏州市相城区望亭镇，主要工作内容包括新建通道总长491米。其中新建十六通道砼沟58米，新建C型电缆沟1米，新建十六通道CPVC管353米，新建十六通道N-HAP管42米，新建十二通道N-HAP管17米，新建十六通道MPP排管20米。工程内容详见工程量清单、工程量编制说明。</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工期60天</w:t>
            </w:r>
            <w:r/>
          </w:p>
        </w:tc>
      </w:tr>
      <w:tr>
        <w:trPr>
          <w:trHeight w:val="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财政资金</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由响应单位自行踏勘（供应商由于未踏勘现场导致的报价失误或对工程量清单理解产生的歧义，其后果自行承担）。</w:t>
            </w:r>
            <w:r/>
          </w:p>
        </w:tc>
      </w:tr>
      <w:tr>
        <w:trPr>
          <w:trHeight w:val="1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供应商的资质等级要求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1、满足中华人民共和国政府采购法第二十二条所规定的条件；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2、申请人资质类别和等级：具有市政公用工程施工总承包三级(含)以上资质；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3、具备安全生产条件，并取得安全生产许可证；</w:t>
            </w:r>
            <w:r/>
          </w:p>
          <w:p>
            <w:pPr>
              <w:ind w:left="0" w:right="0" w:firstLine="0"/>
              <w:spacing w:before="200" w:after="200" w:line="85" w:lineRule="atLeast"/>
              <w:tabs>
                <w:tab w:val="left" w:pos="80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4、拟选派项目经理资质等级：具有市政公用工程二级注册建造师及以上资质并具有《建筑施工企业项目负责人安全生产考核合格证书》（B类）及响应单位为其缴纳社保。项目经理必须满足： </w:t>
            </w:r>
            <w:r>
              <w:rPr>
                <w:rFonts w:ascii="SimSun" w:hAnsi="SimSun" w:eastAsia="SimSun" w:cs="SimSun"/>
                <w:color w:val="000000"/>
                <w:sz w:val="24"/>
                <w:highlight w:val="white"/>
              </w:rPr>
              <w:t xml:space="preserve">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注：本项目不接受联合体投标。</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工程报价方式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固定综合单价</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本项目不收取磋商保证金，采购文件中有关磋商保证金的条款不适用。</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预算价：1593949.00元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注：报价超过预算价或最高限价的按无效报价处理。</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成交后，成交供应商提供四份纸质响应文件至代理机构，响应文件中须包含综合分析表。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90天（从提交响应文件截止时间当日起算）</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上传截止时间：2026年06月10日09:30（北京时间）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响应文件开启时间：2026年06月10日09:30（北京时间）</w:t>
            </w:r>
            <w:r/>
          </w:p>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磋商地点：苏采云政府采购一体化平台</w:t>
            </w:r>
            <w:r/>
          </w:p>
        </w:tc>
      </w:tr>
      <w:tr>
        <w:trPr>
          <w:trHeight w:val="1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询问和质疑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（1）获取磋商文件成功的磋商供应商在下载磋商文件后，对磋商文件有疑问的，可通过邮件（1214506206@qq.com）进行询问。采购代理机构通过邮件予以解答，询问人自行在邮件中查看解答信息。</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采购文件、采购过程、成交结果使自己的权益受到损害的，可以在知道或者应知其权益受到损害之日起7个工作日内，以书面形式向采购人提出质疑。供应商须在法定质疑期内一次性提出针对同一采购程序环节的质疑。质疑函须以当面递交等法定途径送达。供应商质疑应符合政府采购质疑和投诉办法(中华人民共和国财政部令第94号)。</w:t>
            </w:r>
            <w:r/>
          </w:p>
        </w:tc>
      </w:tr>
      <w:tr>
        <w:trPr>
          <w:trHeight w:val="12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成交原则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本项目成交供应商无需支付代理服务费</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成交通知书发出之日起15日内</w:t>
            </w:r>
            <w:r/>
          </w:p>
        </w:tc>
      </w:tr>
      <w:tr>
        <w:trPr>
          <w:trHeight w:val="7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不提交，采购文件中有关履约保证金的规定均不适用。</w:t>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1、本项目支持网上不见面开标，供应商不需到现场参加磋商会。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4、供应商如需图纸，请联系采购代理机构(如有）。</w:t>
            </w:r>
            <w:r/>
          </w:p>
        </w:tc>
      </w:tr>
    </w:tbl>
    <w:p>
      <w:pPr>
        <w:pStyle w:val="751"/>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pStyle w:val="751"/>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 磋商邀请函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杨家沿路北延工程配套10KV电缆通道工程采购项目的潜在供应商应在“苏采云政府采购一体化平台”自行免费下载磋商文件，并于2026年06月10日09:30（北京时间）前提交响应文件。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项目编号：JSZC-320507-PMJS-C2026-0016号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项目名称：杨家沿路北延工程配套10KV电缆通道工程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预算金额：159.3949万元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1.工程概况：杨家沿路北延工程配套10KV电缆通道工程，位于苏州市相城区望亭镇。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范围及内容：施工范围为苏州市相城区望亭镇，主要工作内容包括新建通道总长491米。其中新建十六通道砼沟58米，新建C型电缆沟1米，新建十六通道CPVC管353米，新建十六通N-HAP管42米，新建十二通道N-HAP管17米，新建十六通道MPP排管20米，详见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3.工程地点：苏州市相城区望亭镇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4.资金来源：财政资金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5.承包方式：包工包料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6.合同期限：工期60天。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8.编制依据：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程工程量清单计价规范》GB50500-2013、《市政工程工程量计算规范》GB50857-2013、《江苏省市政工程计价定额》（2014）、《江苏省建设工程费用定额》（2014）及营改增后调整内容及其他现行相关法规、文件、规定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9.项目工程量：详见工程量清单（本项目工程量清单、工程量编制说明，请投标人自行下载）；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10.施工要求：按现行国家施工技术及验收规范规程执行，满足采购需求要求；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11.验收标准：电力通道建成后必须要通过电力部门验收，若未通过，造成的全部损失由成交单位承担。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（6）符合法律、行政法规规定的其他条件；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.落实政府采购政策需满足的资格要求：本项目专门面向中小企业采购，所属行业为建筑业，供应商应为中小微企业或监狱企业或残疾人福利性单位。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3.1申请人资质类别和等级：具有市政公用工程施工总承包三级(含)以上资质；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3.2具备安全生产条件，并取得安全生产许可证；</w:t>
      </w:r>
      <w:r/>
    </w:p>
    <w:p>
      <w:pPr>
        <w:ind w:left="0" w:right="0" w:firstLine="480"/>
        <w:spacing w:before="240" w:after="240" w:line="85" w:lineRule="atLeast"/>
        <w:tabs>
          <w:tab w:val="left" w:pos="80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3.3拟选派项目经理资质等级：具有市政公用工程二级注册建造师及以上资质并具有《建筑施工企业项目负责人安全生产考核合格证书》（B类）及响应单位为其缴纳社保。项目经理必须满足： </w:t>
      </w:r>
      <w:r>
        <w:rPr>
          <w:rFonts w:ascii="SimSun" w:hAnsi="SimSun" w:eastAsia="SimSun" w:cs="SimSun"/>
          <w:color w:val="000000"/>
          <w:sz w:val="24"/>
          <w:highlight w:val="white"/>
        </w:rPr>
        <w:t xml:space="preserve">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（3）为本采购项目提供整体设计、规范编制或者项目管理、监理、检测等服务的供应商，不得再参加本采购项目的其他采购活动。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时间：磋商公告之日起5个工作日。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地点：供应商登录苏州市政府采购网站首页下侧 “苏采云-已参与项目”中，根据提示，下载招标（采购）文件。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方式：网上报名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截止时间：2026年06月10日09</w:t>
      </w:r>
      <w:r>
        <w:rPr>
          <w:rFonts w:ascii="SimSun" w:hAnsi="SimSun" w:eastAsia="SimSun" w:cs="SimSun"/>
          <w:color w:val="000000"/>
          <w:sz w:val="24"/>
        </w:rPr>
        <w:t xml:space="preserve">：30（北京时间）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时间：2026年06月10日09：30（北京时间）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高新区邓尉路105号狮山科技馆1楼服务大厅，咨询电话：0512-</w:t>
      </w:r>
      <w:r>
        <w:rPr>
          <w:rFonts w:ascii="SimSun" w:hAnsi="SimSun" w:eastAsia="SimSun" w:cs="SimSun"/>
          <w:color w:val="000000"/>
          <w:sz w:val="24"/>
        </w:rPr>
        <w:t xml:space="preserve">65737699。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9.投标人（供应商）应自行在苏采云政府采购一体化平台上下载/获取招标（采购）文件及其澄清（答疑）、工程量清单、图纸等相关招标（采购）资料，恕不另行通知。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12.请贵单位领取本次采购文件后，认真阅读各项内容，进行必要的磋商准备，按文件的要求详细填写和编制响应文件。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13.苏州市相城区财政局政府采购监督电话：0512-67591005、0512-67591006。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hyperlink r:id="rId19" w:tooltip="http://www.szweikang.xn--com-6y3ba7cbgc4097e4kax19cqoerohxod7w1bva254sga6035lg4sc/" w:history="1">
        <w:r>
          <w:rPr>
            <w:rStyle w:val="1020"/>
            <w:rFonts w:ascii="SimSun" w:hAnsi="SimSun" w:eastAsia="SimSun" w:cs="SimSun"/>
            <w:color w:val="000000"/>
            <w:sz w:val="24"/>
            <w:u w:val="single"/>
          </w:rPr>
          <w:t xml:space="preserve">上发布</w:t>
        </w:r>
      </w:hyperlink>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注册咨询：13914088964、18261002950；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名称：苏州市相城区望亭镇人民政府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地址：苏州市相城区望亭镇御亭路210号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联系方式：18913183335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联系人：马喆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址：苏州工业园区东环路1400号综艺开元大厦15楼会议室1502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联系方式：0512-67256848-1647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w:t>
      </w:r>
      <w:r>
        <w:rPr>
          <w:rFonts w:ascii="SimSun" w:hAnsi="SimSun" w:eastAsia="SimSun" w:cs="SimSun"/>
          <w:color w:val="000000"/>
          <w:sz w:val="24"/>
        </w:rPr>
        <w:t xml:space="preserve">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项目联系人：顾苏芯、俞莉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话：0512-67256848-1647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pStyle w:val="751"/>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 </w:t>
      </w:r>
      <w:r/>
    </w:p>
    <w:p>
      <w:pPr>
        <w:pStyle w:val="751"/>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751"/>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751"/>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第二章磋商响应文件格式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1、授权委托书</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法定代表人授权委托书</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（姓名）</w:t>
      </w:r>
      <w:r>
        <w:rPr>
          <w:rFonts w:ascii="SimSun" w:hAnsi="SimSun" w:eastAsia="SimSun" w:cs="SimSun"/>
          <w:color w:val="000000"/>
          <w:sz w:val="24"/>
        </w:rPr>
        <w:t xml:space="preserve">系</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（姓名+手机号码）</w:t>
      </w:r>
      <w:r>
        <w:rPr>
          <w:rFonts w:ascii="SimSun" w:hAnsi="SimSun" w:eastAsia="SimSun" w:cs="SimSun"/>
          <w:color w:val="000000"/>
          <w:sz w:val="24"/>
        </w:rPr>
        <w:t xml:space="preserve">为我公司代理人，以本公司的名义参加</w:t>
      </w:r>
      <w:r>
        <w:rPr>
          <w:rFonts w:ascii="SimSun" w:hAnsi="SimSun" w:eastAsia="SimSun" w:cs="SimSun"/>
          <w:color w:val="000000"/>
          <w:sz w:val="24"/>
          <w:u w:val="single"/>
        </w:rPr>
        <w:t xml:space="preserve">（采购人名称）</w:t>
      </w:r>
      <w:r>
        <w:rPr>
          <w:rFonts w:ascii="SimSun" w:hAnsi="SimSun" w:eastAsia="SimSun" w:cs="SimSun"/>
          <w:color w:val="000000"/>
          <w:sz w:val="24"/>
        </w:rPr>
        <w:t xml:space="preserve">组织实施的编号为 </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号的招标（采购）活动。代理人在投标、开标、评标、合同订立和履行过程中所签署的一切文件和处理与这有关的一切事务，我均予以承认。</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人(盖章）：</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法定代表人（盖章或签字）：</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代理人（盖章或签字）：</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2、磋商响应函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磋商响应函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1、我们愿意按照磋商采购文件的一切要求，提供本项目所有内容，我方的报价包含磋商文件要求的一切费用。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2、如果我们的磋商响应文件被接受，我们将严格履行采购文件中规定的每一项要求，按期、按质、按量履行合同的义务。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3、我们已详细审查全部采购文件，包括更正公告(如有)。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4、我们同意按采购文件中的规定，本磋商响应文件的有效期限为响应文件提交截止之日起90天。如果我们在开标后规定的有效期内撤回，我们愿承担一切责任。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采购文件中要求的所有资料，也同意向贵方提供贵方可能另外要求的与其有关的任何证据或资料，并保证所提供的资料全部是真实的、合法的、有效的，若有虚假，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6、我们愿意遵守采购文件中所列的收费标准。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7、我们承诺该磋商响应文件在磋商开始后的全过程中保持有效，不作任何更改和变动。我们同意成交后若不履行响应文件的内容要求和各项承诺及义务的即被视为违约，我们愿承担一切责任。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8、我们承诺我公司符合采购文件中“合格磋商供应商的条件”的要求，若与真实情况不符，本公司愿意承担由此而产生的一切后果。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10、如果我们成交，我们愿意在签订合同时按采购文件的规定支付代理服务费；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11、综合说明：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（3）对采购文件有不同意见的偏离说明；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12、本函填写的电子邮箱为我方在本次采购中的授权邮箱，该邮箱发至采购人或招标代理的函件无论是否签字或盖章，均视为我方的意思表示，我方均予以承认并承担相应后果。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所有有关磋商响应文件的函电，请按下列地址联系：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联系电话（手机号码）：电子邮箱：</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3、磋商报价表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磋商报价表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根据已收到的工程的磋商文件，遵照现行法律法规的有关规定，我单位经考察现场和研究磋商文件后，愿以人民币元</w:t>
      </w:r>
      <w:r>
        <w:rPr>
          <w:rFonts w:ascii="SimSun" w:hAnsi="SimSun" w:eastAsia="SimSun" w:cs="SimSun"/>
          <w:color w:val="000000"/>
          <w:sz w:val="24"/>
          <w:u w:val="single"/>
        </w:rPr>
        <w:t xml:space="preserve">（大写）（¥   ）</w:t>
      </w:r>
      <w:r>
        <w:rPr>
          <w:rFonts w:ascii="SimSun" w:hAnsi="SimSun" w:eastAsia="SimSun" w:cs="SimSun"/>
          <w:color w:val="000000"/>
          <w:sz w:val="24"/>
        </w:rPr>
        <w:t xml:space="preserve">的总价，</w:t>
      </w:r>
      <w:r>
        <w:rPr>
          <w:rFonts w:ascii="SimSun" w:hAnsi="SimSun" w:eastAsia="SimSun" w:cs="SimSun"/>
          <w:color w:val="000000"/>
          <w:sz w:val="24"/>
          <w:u w:val="single"/>
        </w:rPr>
        <w:t xml:space="preserve">税率%</w:t>
      </w:r>
      <w:r>
        <w:rPr>
          <w:rFonts w:ascii="SimSun" w:hAnsi="SimSun" w:eastAsia="SimSun" w:cs="SimSun"/>
          <w:color w:val="000000"/>
          <w:sz w:val="24"/>
        </w:rPr>
        <w:t xml:space="preserve">，按磋商文件的要求承包本次发包范围内的全部工程。我们承诺：我们的报价经过仔细测算，绝对不低于我们的成本价。在工程量不发生变更的情况下，在合同条款约定的范围内，不向发包人要求增加任何费用。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pacing w:val="16"/>
          <w:sz w:val="24"/>
        </w:rPr>
        <w:t xml:space="preserve">我单位拟派项目经理：</w:t>
      </w:r>
      <w:r>
        <w:rPr>
          <w:rFonts w:ascii="SimSun" w:hAnsi="SimSun" w:eastAsia="SimSun" w:cs="SimSun"/>
          <w:color w:val="000000"/>
          <w:spacing w:val="16"/>
          <w:sz w:val="24"/>
          <w:u w:val="single"/>
        </w:rPr>
        <w:t xml:space="preserve">（姓名）</w:t>
      </w:r>
      <w:r>
        <w:rPr>
          <w:rFonts w:ascii="SimSun" w:hAnsi="SimSun" w:eastAsia="SimSun" w:cs="SimSun"/>
          <w:color w:val="000000"/>
          <w:spacing w:val="16"/>
          <w:sz w:val="24"/>
        </w:rPr>
        <w:t xml:space="preserve">，资质等级：</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级，证号:</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（三）我单位保证在收到贵单位发出的书面开工令后立即开工，并在</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天内竣工。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（四）我单位保证本工程质量达到。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（五）贵单位的磋商文件、成交通知书和本报价文件将构成约束我们双方的合同。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ind w:left="0" w:right="0" w:firstLine="0"/>
        <w:spacing w:before="0" w:after="120" w:line="85" w:lineRule="atLeast"/>
        <w:tabs>
          <w:tab w:val="left" w:pos="2532" w:leader="none"/>
        </w:tabs>
        <w:pBdr>
          <w:top w:val="none" w:color="000000" w:sz="4" w:space="0"/>
          <w:left w:val="none" w:color="000000" w:sz="4" w:space="0"/>
          <w:bottom w:val="none" w:color="000000" w:sz="4" w:space="0"/>
          <w:right w:val="none" w:color="000000" w:sz="4" w:space="0"/>
        </w:pBdr>
      </w:pPr>
      <w:r>
        <w:br w:type="page" w:clear="all"/>
      </w:r>
      <w:r/>
    </w:p>
    <w:p>
      <w:pPr>
        <w:pStyle w:val="752"/>
        <w:ind w:left="0" w:right="0" w:firstLine="0"/>
        <w:spacing w:before="0" w:after="120" w:line="85" w:lineRule="atLeast"/>
        <w:tabs>
          <w:tab w:val="left" w:pos="25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4、偏离表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商务技术条款偏离表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921"/>
        <w:gridCol w:w="2401"/>
        <w:gridCol w:w="2401"/>
        <w:gridCol w:w="104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5、施工组织机构及现场施工人员名单</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施工组织机构人员名单</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683"/>
        <w:gridCol w:w="878"/>
        <w:gridCol w:w="1684"/>
        <w:gridCol w:w="1525"/>
        <w:gridCol w:w="1684"/>
        <w:gridCol w:w="11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拟在本项目中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执业资格证或上岗证书等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主要资历和项目施工经历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注：1、成交后，项目组人员配备应按本表承诺实施，不经采购单位事先书面同意，不得擅自更换。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6、类似业绩一览表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类似业绩一览表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6"/>
        <w:gridCol w:w="2077"/>
        <w:gridCol w:w="1363"/>
        <w:gridCol w:w="1676"/>
        <w:gridCol w:w="1651"/>
        <w:gridCol w:w="847"/>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项目名称及简介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9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7、中小企业声明函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中小企业声明函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建筑业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 ，属于</w:t>
      </w:r>
      <w:r>
        <w:rPr>
          <w:rFonts w:ascii="SimSun" w:hAnsi="SimSun" w:eastAsia="SimSun" w:cs="SimSun"/>
          <w:color w:val="000000"/>
          <w:sz w:val="24"/>
          <w:u w:val="single"/>
        </w:rPr>
        <w:t xml:space="preserve">（中型企业、小型企业、微型企业,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三者选一）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 </w:t>
      </w:r>
      <w:r/>
    </w:p>
    <w:p>
      <w:pPr>
        <w:ind w:left="0" w:right="49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提供的中小企业声明函必须将盖有公章的彩色扫描件上传至电子投标文件中，</w:t>
      </w:r>
      <w:r>
        <w:rPr>
          <w:rFonts w:ascii="SimSun" w:hAnsi="SimSun" w:eastAsia="SimSun" w:cs="SimSun"/>
          <w:b/>
          <w:color w:val="000000"/>
          <w:sz w:val="24"/>
          <w:u w:val="none"/>
        </w:rPr>
        <w:t xml:space="preserve">否则不享受相应政府采购政策</w:t>
      </w:r>
      <w:r>
        <w:rPr>
          <w:rFonts w:ascii="SimSun" w:hAnsi="SimSun" w:eastAsia="SimSun" w:cs="SimSun"/>
          <w:b/>
          <w:color w:val="000000"/>
          <w:sz w:val="24"/>
          <w:u w:val="single"/>
        </w:rPr>
        <w:t xml:space="preserve">或视为不响应。</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6、如未对（中型企业、小型企业、微型企业）进行勾选，视同非中小微企业，不可享受相应扶持政策。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8、残疾人福利性单位声明函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注：未提供或者提供的残疾人福利性单位声明函未加盖有公章的彩色扫描件上传至电子投标文件中的不享受相应政策优惠。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w:t>
      </w:r>
      <w:r>
        <w:rPr>
          <w:rFonts w:ascii="SimSun" w:hAnsi="SimSun" w:eastAsia="SimSun" w:cs="SimSun"/>
          <w:b/>
          <w:color w:val="000000"/>
          <w:sz w:val="24"/>
        </w:rPr>
        <w:t xml:space="preserve">、资格证明文件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(1)关于资格文件的声明函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关于资格文件的声明函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______号的磋商采购活动进行响应。本公司所提交的响应文件中所有关于磋商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numPr>
          <w:ilvl w:val="0"/>
          <w:numId w:val="18"/>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br w:type="page" w:clear="all"/>
      </w:r>
      <w:r/>
    </w:p>
    <w:p>
      <w:pPr>
        <w:numPr>
          <w:ilvl w:val="0"/>
          <w:numId w:val="18"/>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磋商响应单位情况表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响应单位（盖章）：</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7"/>
        <w:gridCol w:w="1973"/>
        <w:gridCol w:w="1524"/>
        <w:gridCol w:w="1991"/>
        <w:gridCol w:w="1195"/>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（3）供应商与其他单位存在控股、管理关系情况表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8"/>
        <w:gridCol w:w="4481"/>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控股、管理关系情况说明</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100" w:after="10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751"/>
        <w:numPr>
          <w:ilvl w:val="0"/>
          <w:numId w:val="19"/>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项目经理无在建工程声明函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项目经理无在建工程声明函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号的磋商采购活动进行响应。本公司拟派的项目经理</w:t>
      </w:r>
      <w:r>
        <w:rPr>
          <w:rFonts w:ascii="SimSun" w:hAnsi="SimSun" w:eastAsia="SimSun" w:cs="SimSun"/>
          <w:color w:val="000000"/>
          <w:sz w:val="24"/>
          <w:u w:val="single"/>
        </w:rPr>
        <w:t xml:space="preserve">（姓名），资质等级，证书号</w:t>
      </w:r>
      <w:r>
        <w:rPr>
          <w:rFonts w:ascii="SimSun" w:hAnsi="SimSun" w:eastAsia="SimSun" w:cs="SimSun"/>
          <w:color w:val="000000"/>
          <w:sz w:val="24"/>
        </w:rPr>
        <w:t xml:space="preserve">，无在建工程，</w:t>
      </w:r>
      <w:r/>
    </w:p>
    <w:p>
      <w:pPr>
        <w:ind w:left="0" w:right="0" w:firstLine="0"/>
        <w:spacing w:before="240" w:after="240" w:line="85" w:lineRule="atLeast"/>
        <w:tabs>
          <w:tab w:val="left" w:pos="80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满足以下情形：项目经理非变更后无在建工程，或项目经理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若与真实情况不符，本公司愿意承担由此而产生的一切后果。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52"/>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 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江苏京苏项目管理咨询有限公司受苏州市相城区望亭镇人民政府的委托，就其所需杨家沿路北延工程配套</w:t>
      </w:r>
      <w:r>
        <w:rPr>
          <w:rFonts w:ascii="Calibri" w:hAnsi="Calibri" w:eastAsia="Calibri" w:cs="Calibri"/>
          <w:color w:val="000000"/>
          <w:sz w:val="24"/>
        </w:rPr>
        <w:t xml:space="preserve">10KV</w:t>
      </w:r>
      <w:r>
        <w:rPr>
          <w:rFonts w:ascii="SimSun" w:hAnsi="SimSun" w:eastAsia="SimSun" w:cs="SimSun"/>
          <w:color w:val="000000"/>
          <w:sz w:val="24"/>
        </w:rPr>
        <w:t xml:space="preserve">电缆通道工程项目采用竞争性磋商方式进行采购，欢迎有资格的供应商前来参加本次磋商采购活动。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一、采购编号：JSZC-320507-PMJS-C2026-0016号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二、采购项目：杨家沿路北延工程配套10KV电缆通道工程</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及内容：施工范围为苏州市相城区望亭镇，主要工作内容包括新建通道总长491米。其中新建十六通道砼沟58米，新建C型电缆沟1米，新建十六通道CPVC管353米，新建十六通N-HAP管42米，新建十二通道N-HAP管17米，新建十六通道MPP排管20米，工程内容详见工程量清单、工程量编制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工程地点：苏州市相城区望亭镇；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资金来源：财政资金；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合同期限：工期60天。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2、编制依据：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程工程量清单计价规范》GB50500-2013、《市政工程工程量计算规范》GB50857-2013、《江苏省市政工程计价定额》（2014）、《江苏省建设工程费用定额》（2014）及营改增后调整内容及其他现行相关法规、文件、规定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项目工程量：详见工程量清单及工程量编制说明（本项目工程量清单、工程量编制说明，请投标人自行下载）；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（1）按采购文件、工程量清单等资料组织改造施工；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（2）施工质量应符合现行国家施工技术及验收规范规程；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4、施工组织设计方案要求：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要求组织改造施工，施工组织设计内容包括但不限于总体概述、进度计划、施工方案应科学合理。劳动力配备合理，工作任务明确，人员组织到位。机械设备投入符合项目要求，有详尽的计划，项目实施进度、时间，关键节点科学合理。安全文明施工措施科学、合理、操作性强，沟通和解决机制简单有效，给出验收条件明晰、措施合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5、本项目需执行《望亭镇建设工程项目管理实施细则（试行）》（望政发〔2025〕48号）相关规定。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6、验收标准：电力通道建成后必须要通过电力部门验收，若未通过，造成的全部损失由成交单位承担。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1、报价方式：本工程项目采用下列第</w:t>
      </w:r>
      <w:r>
        <w:rPr>
          <w:rFonts w:ascii="SimSun" w:hAnsi="SimSun" w:eastAsia="SimSun" w:cs="SimSun"/>
          <w:color w:val="000000"/>
          <w:sz w:val="24"/>
          <w:u w:val="single"/>
        </w:rPr>
        <w:t xml:space="preserve"> （2）</w:t>
      </w:r>
      <w:r>
        <w:rPr>
          <w:rFonts w:ascii="SimSun" w:hAnsi="SimSun" w:eastAsia="SimSun" w:cs="SimSun"/>
          <w:color w:val="000000"/>
          <w:sz w:val="24"/>
        </w:rPr>
        <w:t xml:space="preserve"> 种报价方式。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（1）固定总价报价。竞争报价人应充分考虑施工期间各类建材市场价格变化，政策性调整的风险，一旦经评审确定承包人，报价不作调整。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（2.2）本工程追加费用不得超过原合同金额的10%；原合同金额10%以内的追加费用，限于原合同内工程清单数量调整增加的工程费用，原合同外工程内容不得计入。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（2.3）本工程在磋商文件中已明确的各项施工措施项目，除工程变更引起施工方案改变外，承包人不得以招标工程措施项目清单缺项为由要求新增措施项目。 </w:t>
      </w:r>
      <w:r/>
    </w:p>
    <w:p>
      <w:pPr>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（2.4）政府投资工程有关变更按《苏州市政府投资建设项目工程变更备案管理暂行办法》、《苏州市市级政府投资建筑工程变更备案管理实施细则》等项目所在地相关规定执行。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及时对招标工程量清单数量的工程数量进行校核，如两者的误差额达到《苏州市市级政府投资建筑工程变更备案管理实施细则》等项目所在地相关规定的备案起点时，必须在分部分项工程实施前向发包方提出变更费用申请，否则工程结算时对因此造成的造价增加将不予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（2.5）合同备案要求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（2.5.1）如需办理施工许可证等相关工程监管手续的小额工程项目，在项目实施前，建设单位（集中建设实施单位）应及时办理施工许可证，并接受质安监的监督管理。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（2.5.2）无需办理施工许可证等相关工程监管手续的小额工程项目，只需在合同公示即可。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2、磋商报价时，不可竞争费用均按规定计算，不得让利或随意调整计算标准，否则报价无效。规费费率详见工程量清单。磋商单位不得将不可竞争费用降低标准收取，不可竞争费费率详见工程量清单。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3、规费费率详见工程量清单。江苏省安全文明施工措施费应放在措施项目清单中（计取基本费、扬尘污染防治增加费）。投标人不得将不可磋商费用降低标准收取，不可磋商费费率详见工程量清单。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4、计价格式中列明的所有需要填报的单价和合价，竞争人均需填报，未填报的单价和合价，视为此项费用已包含在工程量清单的其他单价和合价中。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5、因成交供应商养护不到位造成的他人的人身及财产损失，经有关部门认定为养护人责任的，由成交单位承担相关责任及费用。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六、响应文件的组成及要求：</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（一）文件组成（部分格式见第二章）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4、已标价工程量清单（按《建设工程工程量清单计价规范》（GB50500-2013）提供）；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5、《中小企业声明函》或残疾人福利性单位声明函或省级以上监狱管理局、戒毒管理局（含新疆生产建设兵团）出具的属于监狱企业的证明文件扫描件；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注：未提供、未按要求提供或者提供的中小企业声明函或残疾人福利性单位声明函未加盖有公章的彩色扫描件上传至电子投标文件中的不享受相关政策。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6、关于资格文件的声明函；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7、磋商响应单位情况表，供应商与其他单位存在控股、管理关系情况表；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8、磋商响应单位法定代表人身份证扫描件；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9、磋商响应单位代理人身份证扫描件（如有授权）；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10、《商务条款偏离表》；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11、供应商一般资格条件证明文件：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①具有独立承担民事责任的能力：包括法人或者其他组织的营业执照等证明文件，自然人身份证明；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②具有良好的商业信誉和健全的财务会计制度：包括但不限于最近一期经审计的财务报告或其基本开户银行出具的资信证明，其他组织、自然人及成立未满一年的法人应提供银行出具的资信证明；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③具有履行合同所必需的设备和专业技术能力证明资料或声明函；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有依法缴纳税收和社会保障资金的良好记录:投标截止时间前六个月内依法缴纳税收的凭据，如为依法免税或不需要缴纳的，投标人则须提供对应证明资料，否则不予认可；社会保险登记证（如有）和投标截止时间前六个月内依法缴纳社会保险的凭据（专用收据或社会保险缴纳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⑤参加政府采购活动近三年内，在经营活动中没有重大违法记录的书面声明函（格式自拟）；</w:t>
      </w:r>
      <w:r/>
    </w:p>
    <w:p>
      <w:pPr>
        <w:ind w:left="862"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12、供应商特殊资格条件证明文件：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（1）磋商供应商具有市政公用工程施工总承包三级(含)以上资质扫描件；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（2）磋商供应商具备安全生产条件：安全生产许可证扫描件；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（3）拟选派项目经理市政公用工程二级注册建造师及以上资质证书扫描件、《建筑施工企业项目负责人安全生产考核合格证书》（B类）扫描件及响应单位为其缴纳社保证明扫描件；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（4）项目经理无在建工程承诺书（格式自拟）；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13、类似业绩一览表及相关附件；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15、施工组织机构人员名单；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16、投标保证承诺书；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17、采购文件要求提供的其他资料及响应单位认为应提交的资料。</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（二）电子磋商响应文件编制及提交：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4、投标（响应）文件制作完成后导出投标（响应）文件，在“参与详情”页面上传已制作完成的投标（响应）文件。</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5、投标（响应）文件提交后，供应商可通过模拟解密操作检测投标（响应）文件是否可以正常解密。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6、</w:t>
      </w:r>
      <w:r>
        <w:rPr>
          <w:rFonts w:ascii="SimSun" w:hAnsi="SimSun" w:eastAsia="SimSun" w:cs="SimSun"/>
          <w:b/>
          <w:color w:val="000000"/>
          <w:sz w:val="24"/>
          <w:u w:val="single"/>
        </w:rPr>
        <w:t xml:space="preserve">因本章“六、响应文件的组成及要求”要求的中小企业声明函、残疾人福利性单位声明函要求的文件需在成交公告时对外公示，故磋商供应商如涉及需要提供“六、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8、联合体投标：本项目不涉及。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w:t>
      </w:r>
      <w:r>
        <w:rPr>
          <w:rFonts w:ascii="KaiTi" w:hAnsi="KaiTi" w:eastAsia="KaiTi" w:cs="KaiTi"/>
          <w:color w:val="000000"/>
          <w:sz w:val="24"/>
        </w:rPr>
        <w:t xml:space="preserve">：</w:t>
      </w:r>
      <w:r>
        <w:rPr>
          <w:rFonts w:ascii="SimSun" w:hAnsi="SimSun" w:eastAsia="SimSun" w:cs="SimSun"/>
          <w:color w:val="000000"/>
          <w:sz w:val="24"/>
        </w:rPr>
        <w:t xml:space="preserve">在投标（响应）文件中，由联合体中的牵头人制作投标（响应）文件。</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（三）报价（编制）要求的说明</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1、根据提供的磋商文件、工程量清单及有关资料单独编制相关项目实施的磋商报价并汇总填入《已标价工程量清单》；</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2、磋商报价明细中标的物顺序和数量均应按本磋商文件提供的采购清单顺序和数量。如发现响应报价中有错算现象，一旦成交，磋商供应商自行承担错算这部分的经济损失。</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3、供应商应对磋商文件内所要采购的全部内容进行报价，只响应其中部分内容者，其响应文件将被拒绝。</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4、一项响应内容只允许一个报价，采购人不接受任何有选择性的响应报价。</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5、响应文件中报价全部采用人民币表示，除非合同的特殊条款另有规定。</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七、磋商程序</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2、线上参加（观看）开标会方式：苏州市政府采购网点击“苏采云”进入交易系统，点击“开标大厅-我的项目”，找到对应项目进行线上参加（观看）。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3、开标时，供应商的响应文件须在供应商解密环节进行解密，在解密时长倒计时结束前，供应商需解密完成，否则视为放弃本次投标（磋商）。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5、开评审结果会在磋商结束的同时通过采购系统告知供应商，请供应商及时查看，否则导致的对供应商不利的后果由供应商自行承担。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6、本项目采用线上澄清：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评审中需要供应商进行澄清的通知会通过苏采云系统发出，供应商应及时登录采购系统查看澄清要求并在规定的时间内进行线上答复。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8、供应商未按规定时间及要求递交二次报价的，视为放弃本次投标（响应）。</w:t>
      </w:r>
      <w:r/>
    </w:p>
    <w:p>
      <w:pPr>
        <w:ind w:left="0" w:right="0" w:firstLine="518"/>
        <w:jc w:val="both"/>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（3）投标报价低于采购项目最高限价45%的，即投标报价＜采购项目最高限价×45%；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10.2启动异常低价投标审查后，评标委员会应当要求相关供应商在评标现场合理的时间内，提供项目具体成本测算等（包括原材料成本、人工成本、制造费用等）与报价合理性相关的书面说明材料及相关证明材料，对投标价格作出解释，由评标委员会参考同类项目中标（成交）价格、类似产品市场价格水平、行业人工费用标准、国家有关部门指导行业协会发布的行业平均成本等情况，对报价合理性进行判断，依据专业经验对供应商报价合理性进行判断。投标供应商不提供成本测算、书面说明、证明材料，或者提供的书面说明、证明材料不能证明其报价合理性的，评标委员</w:t>
      </w:r>
      <w:r>
        <w:rPr>
          <w:rFonts w:ascii="SimSun" w:hAnsi="SimSun" w:eastAsia="SimSun" w:cs="SimSun"/>
          <w:b/>
          <w:color w:val="000000"/>
          <w:sz w:val="24"/>
        </w:rPr>
        <w:t xml:space="preserve">会应当将其作为无效投标处理。审查相关情况应当在评标报告中进行记录。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八、磋商小组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1、磋商小组由采购人依法组建，由采购人代表、专家评委组成。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2、磋商小组与参加采购活动的供应商存在下列利害关系之一的，应当回避：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3、磋商小组负责具体的磋商事务，并独立履行以下职责：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3.1审查响应文件是否符合磋商采购文件的要求，并作出评价；</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3.2可以要求磋商供应商对响应文件有关事项作出解释或澄清；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3.3推荐成交候选磋商供应商名单；</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3.4向采购人或者有关部门报告非法干预磋商工作的行为。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4、磋商小组成员应当履行下列义务：</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4.1遵纪守法，客观、公正、廉洁地履行职责；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4.2按照磋商采购文件规定的评审办法和评分标准进行评审，对评审意见承担个人责任；</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4.3对磋商过程和结果，以及磋商供应商的商业秘密保密；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4.4参与评审报告的起草；</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4.5配合相关部门的投诉处理工作；</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4.6配合采购人答复磋商供应商提出的质疑。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九、评审内容的保密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1、磋商开始后，直到宣布授予成交单位合同为止，凡属于审查、澄清、评价和比较响应文件的所有资料，有关授予合同的信息都不应向磋商供应商或与评审无关的其他人泄露。</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2、在响应文件的审查、澄清、评价和比较以及授予合同的过程中，磋商供应商对采购人和磋商小组施加影响的任何行为，都将取消其成交资格。</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3、在评审期间，采购人将通过指定联络人与磋商供应商进行联系。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十、对响应文件初审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1.1磋商供应商的响应文件未按照本须知规定制作的；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1.2未按本须知规定提交资格文件；</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1.3与磋商采购文件有重大偏离；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1.4磋商供应商拒绝修正错误；</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1.5磋商供应商的报价是选择性的；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1.6磋商供应商的报价只投了部分内容；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1.7未按时递交二次报价的；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1.8磋商供应商的响应文件出现了评标委员会认为不应当雷同的情况；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1.9经磋商小组认定磋商供应商的报价低于成本价的；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1.10不同供应商的“机器码一致”的情形；</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其他被磋商小组认定无效的情况。</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3、磋商小组将对确定为实质性响应的文件进行审核，看其是否有计算上或累加上的算术错误，修正错误的原则如下：</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3.1响应文件的大写金额与小写金额不一致的，以大写金额为准；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3.3对不同文字文本响应文件的解释发生异议的，以中文文本为准；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3.4磋商供应商不同意以上修正，则其响应文件将被拒绝。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十一、项目的终止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1、出现下列情形之一的，将终止竞争性磋商采购活动：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1.1因情况变化，不再符合规定的竞争性磋商采购方式适用情形的；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1.2出现影响采购公正的违法、违规行为的；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1.3实质性响应磋商文件不满三家或进入二次报价的不满三家或二次报价在采购预算内不满三家的。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十二、响应文件的评价和比较</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1、磋商小组将仅对按照本须知有关规定确定为实质性响应磋商采购文件要求的响应文件进行评价和比较。</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2、评审办法</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采购人授权磋商小组根据本文件规定的成交原则，在响应文件满足磋商文件全部实质性要求且按评审因素的量化指标评审得分最高的磋商供应商为成交候选磋商供应商。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2.1磋商供应商的资信情况和履约能力；</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2.2磋商供应商提供的其他优惠条件；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2.3磋商供应商的实施方案；</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3、评标委员会各成员独立对每个进入合格性评审程序的磋商供应商的响应文件按评审办法进行评审和评价。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十三、成交单位的确认</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1、磋商小组根据磋商供应商资格审查情况，对响应文件进行评价和比较，按照评审办法和标准进行评审，并按采购人的委托向采购人推荐成交候选单位。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2、确定成交供应商后，磋商采购单位将在规定的时间内将成交结果在相关媒体上予以公告。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十五、成交通知书</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1、磋商采购单位应在规定的时间向成交供应商发出成交通知书。成交通知书发出后，采购人改变成交结果，或者成交供应商放弃成交，应当承担相应的法律责任。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2、成交通知书将成为合同的组成部分。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3、磋商采购单位对未成交供应商不承担解释未成交原因的义务。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1、发出成交通知书。在发布成交公告的同时，向成交磋商供应商发出成交通知书。</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十七、合同的签订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1、成交单位应按规定的时间和地点，由法定代表人或代理人与甲方代表签订合同。否则按放弃处理。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2、签订合同及合同条款应以磋商采购文件和成交单位的响应文件及其澄清文件为依据。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十八、代理服务费</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1、成交单位须按前附表的规定计算并支付服务费，该费用应在领取成交通知书时向采购代理机构一次性付清。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2、成交单位如果未按规定缴纳服务费，磋商采购单位将保留诉讼的权利。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十九、采购文件的质疑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5、质疑联系方式详见前附表。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1、关于节能环保产品政府采购要求：</w:t>
        <w:br/>
      </w:r>
      <w:r>
        <w:rPr>
          <w:rFonts w:ascii="SimSun" w:hAnsi="SimSun" w:eastAsia="SimSun" w:cs="SimSun"/>
          <w:color w:val="000000"/>
          <w:sz w:val="24"/>
        </w:rPr>
        <w:t xml:space="preserve">   本项目不涉及属于《节能产品政府采购品目清单》中强制采购范围内产品，不涉及属于《节能产品政府采购品目清单》中优先采购范围内的产品及《环境标志产品政府采购品目清单》范围内的产品。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2、本项目不接受进口产品。</w:t>
      </w:r>
      <w:r>
        <w:rPr>
          <w:rFonts w:ascii="SimSun" w:hAnsi="SimSun" w:eastAsia="SimSun" w:cs="SimSun"/>
          <w:color w:val="000000"/>
          <w:sz w:val="24"/>
        </w:rPr>
        <w:t xml:space="preserve">本项目中涉及的标的物执行国办发〔2025〕34号《国务院办公厅关于在政府采购中实施本国产品标准及相关政策的通知》。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在政府采购活动中，供应商提供的工程符合下列情形的，享受《政府采购促进中小企业发展管理办法》规定的中小企业扶持政策：在工程项目中，项目由中小微企业承建。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根据《政府采购促进中小企业发展管理办法》（财库〔2020〕46号）及《中小企业划型标准规定》（工信部联企业〔2011〕300号），本采购项目对应的中小企业划分标准所属行业为：建筑业。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4、实施本国产品标准及相关政策</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本项目为工程类项目，不涉及相关要求。</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4.3本项目政府采购活动中既有本国产品又有非本国产品参与竞争的，依法对本国产品给予价格评审优惠，对本国产品的报价给予20%的价格扣除，用扣除后的价格参与评审。</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4.4供应商需按照招标文件的要求提供《关于符合本国产品标准的声明函》（以下简称《声明函》）或财政部会同有关部门规定的有关证明文件的，如不提供或提供不符要求的将不享受本国产品价格评审优惠。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信用记录使用规则：对投标人进行资格性审查时，应根据查询结果对供应商的不良信用记录逐项甄别确认。按照《中华人民共和国政府采购法》第二十二条规定，下列信用记录属于应依法拒绝投标人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pStyle w:val="751"/>
        <w:numPr>
          <w:ilvl w:val="0"/>
          <w:numId w:val="20"/>
        </w:numPr>
        <w:jc w:val="center"/>
        <w:spacing w:before="340" w:after="330" w:line="1056" w:lineRule="atLeast"/>
        <w:pBdr>
          <w:top w:val="none" w:color="000000" w:sz="4" w:space="0"/>
          <w:left w:val="none" w:color="000000" w:sz="4" w:space="0"/>
          <w:bottom w:val="none" w:color="000000" w:sz="4" w:space="0"/>
          <w:right w:val="none" w:color="000000" w:sz="4" w:space="0"/>
        </w:pBdr>
      </w:pPr>
      <w:r>
        <w:br w:type="page" w:clear="all"/>
      </w:r>
      <w:r/>
    </w:p>
    <w:p>
      <w:pPr>
        <w:pStyle w:val="751"/>
        <w:numPr>
          <w:ilvl w:val="0"/>
          <w:numId w:val="20"/>
        </w:numPr>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技术管理要求</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一、工程范围与内容</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1、工程概况：</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杨家沿路北延工程配套10KV电缆通道工程：施工范围为苏州市相城区望亭镇，主要工作内容包括新建通道总长491米。其中新建十六通道砼沟58米，新建C型电缆沟1米，新建十六通道CPVC管353米，新建十六通道N-HAP管42米，新建十二通道N-HAP管17米，新建十六通道MPP排管20米。工程内容详见工程量清单、工程量编制说明。</w:t>
      </w:r>
      <w:r/>
    </w:p>
    <w:p>
      <w:pPr>
        <w:numPr>
          <w:ilvl w:val="0"/>
          <w:numId w:val="21"/>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技术管理要求</w:t>
      </w:r>
      <w:r/>
    </w:p>
    <w:p>
      <w:pPr>
        <w:ind w:left="0" w:right="3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承包人应把履行本技术管理要求的所有涉及费用综合考虑计入投标总价中包干。</w:t>
      </w:r>
      <w:r/>
    </w:p>
    <w:p>
      <w:pPr>
        <w:ind w:left="0" w:right="3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渣土等外弃方运距按20km考虑,消纳处置费按相关文件要求计入。</w:t>
      </w:r>
      <w:r/>
    </w:p>
    <w:p>
      <w:pPr>
        <w:ind w:left="0" w:right="0" w:firstLine="482"/>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三、发包人提供工程量</w:t>
      </w:r>
      <w:r/>
    </w:p>
    <w:p>
      <w:pPr>
        <w:ind w:left="0" w:right="3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本工程业主提供的工程量，承包商须自行根据工程现场情况进行核准。</w:t>
      </w:r>
      <w:r/>
    </w:p>
    <w:p>
      <w:pPr>
        <w:ind w:left="0" w:right="0" w:firstLine="482"/>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五、竣工验收</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验收须经承包商自检、监理预验收，合格后报联合验收小组进行初验。联合验收小组由发包人、接收单位、代建单位、监理和设计单位共同组成。电力通道建成后必须要通过电力部门验收，若未通过，造成的全部损失由成交单位承担。涉及费用综合计入投标总价包干。</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工程必须完成所有方案变更申报手续后，方可申请工程验收；工程验收后对验收前发生的增加变更费用原则上不予受理。 </w:t>
      </w:r>
      <w:r/>
    </w:p>
    <w:p>
      <w:pPr>
        <w:pStyle w:val="751"/>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pStyle w:val="751"/>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第五章 合同主要条款</w:t>
      </w:r>
      <w:r/>
    </w:p>
    <w:p>
      <w:pPr>
        <w:ind w:left="0" w:right="0" w:firstLine="361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工程施工合同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发包人（全称）：苏州市相城区望亭镇人民政府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p>
    <w:p>
      <w:pPr>
        <w:ind w:left="0" w:right="0" w:firstLine="480"/>
        <w:jc w:val="both"/>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根据《中华人民共和国民法典》、《中华人民共和国建筑法》及有关法律规定，遵循平等、自愿、公平和诚实信用的原则，双方就采购编号</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杨家沿路北延工程配套10KV电缆通道工程</w:t>
      </w:r>
      <w:r>
        <w:rPr>
          <w:rFonts w:ascii="SimSun" w:hAnsi="SimSun" w:eastAsia="SimSun" w:cs="SimSun"/>
          <w:color w:val="000000"/>
          <w:sz w:val="24"/>
        </w:rPr>
        <w:t xml:space="preserve">施工及有关事项协商一致，共同达成如下协议：</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一、工程概况</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杨家沿路北延工程配套10KV电缆通道工程</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相城区望亭镇</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         </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财政资金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杨家沿路北延工程配套10KV电缆通道工程（详见工程量清单）</w:t>
      </w:r>
      <w:r>
        <w:rPr>
          <w:rFonts w:ascii="SimSun" w:hAnsi="SimSun" w:eastAsia="SimSun" w:cs="SimSun"/>
          <w:color w:val="000000"/>
          <w:sz w:val="24"/>
        </w:rPr>
        <w:t xml:space="preserve">。</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群体工程应附《承包人承揽工程项目一览表》（附件1）。</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杨家沿路北延工程配套10KV电缆通道工程（详见工程量清单）。</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计划开工日期：2026年07月 01日（实际开工日期以业主的开工报告为准）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计划竣工日期：2026年 08月29日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工期总日历天数：60日历天。工期总日历天数与根据前述计划开竣工日期计算的工期天数不一致的，以工期总日历天数为准。</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color w:val="000000"/>
          <w:sz w:val="24"/>
          <w:u w:val="single"/>
        </w:rPr>
        <w:t xml:space="preserve">合格</w:t>
      </w:r>
      <w:r>
        <w:rPr>
          <w:rFonts w:ascii="SimSun" w:hAnsi="SimSun" w:eastAsia="SimSun" w:cs="SimSun"/>
          <w:color w:val="000000"/>
          <w:sz w:val="24"/>
        </w:rPr>
        <w:t xml:space="preserve">标准。</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四、签约合同价与合同价格形式</w:t>
      </w:r>
      <w:r>
        <w:rPr>
          <w:rFonts w:ascii="SimSun" w:hAnsi="SimSun" w:eastAsia="SimSun" w:cs="SimSun"/>
          <w:b/>
          <w:color w:val="000000"/>
          <w:sz w:val="24"/>
        </w:rPr>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（1）安全文明施工费：</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（2）材料和工程设备暂估价金额：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（3）专业工程暂估价金额：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（4）暂列金额：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固定综合单价，工程量按实结算</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w:t>
      </w:r>
      <w:r>
        <w:rPr>
          <w:rFonts w:ascii="SimSun" w:hAnsi="SimSun" w:eastAsia="SimSun" w:cs="SimSun"/>
          <w:b/>
          <w:color w:val="000000"/>
          <w:sz w:val="24"/>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六、合同文件构成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（1）中标通知书（如果有）；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八、词语含义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九、签订时间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本合同于年月日签订。</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十、签订地点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苏州市相城区望亭镇</w:t>
      </w:r>
      <w:r>
        <w:rPr>
          <w:rFonts w:ascii="SimSun" w:hAnsi="SimSun" w:eastAsia="SimSun" w:cs="SimSun"/>
          <w:color w:val="000000"/>
          <w:sz w:val="24"/>
        </w:rPr>
        <w:t xml:space="preserve">签订。</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十一、补充协议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十二、合同生效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签订之日起</w:t>
      </w:r>
      <w:r>
        <w:rPr>
          <w:rFonts w:ascii="SimSun" w:hAnsi="SimSun" w:eastAsia="SimSun" w:cs="SimSun"/>
          <w:color w:val="000000"/>
          <w:sz w:val="24"/>
        </w:rPr>
        <w:t xml:space="preserve">生效。</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十三、合同份数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九</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六</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二</w:t>
      </w:r>
      <w:r>
        <w:rPr>
          <w:rFonts w:ascii="SimSun" w:hAnsi="SimSun" w:eastAsia="SimSun" w:cs="SimSun"/>
          <w:color w:val="000000"/>
          <w:sz w:val="24"/>
        </w:rPr>
        <w:t xml:space="preserve">份，招标代理机构</w:t>
      </w:r>
      <w:r>
        <w:rPr>
          <w:rFonts w:ascii="SimSun" w:hAnsi="SimSun" w:eastAsia="SimSun" w:cs="SimSun"/>
          <w:color w:val="000000"/>
          <w:sz w:val="24"/>
          <w:u w:val="single"/>
        </w:rPr>
        <w:t xml:space="preserve">一</w:t>
      </w:r>
      <w:r>
        <w:rPr>
          <w:rFonts w:ascii="SimSun" w:hAnsi="SimSun" w:eastAsia="SimSun" w:cs="SimSun"/>
          <w:color w:val="000000"/>
          <w:sz w:val="24"/>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7"/>
        <w:gridCol w:w="441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1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4"/>
        <w:gridCol w:w="2942"/>
        <w:gridCol w:w="1771"/>
        <w:gridCol w:w="2907"/>
      </w:tblGrid>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34"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42"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7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0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 通用合同条款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采用《建设工程施工合同（示范文本）》（GF—2017—0201）。</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第三部分专用合同条款</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 一般约定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1、施工招标文件；2、发包人或委托的造价咨询单位编制的预算及招标控制价；3、经发包人审批合格的施工组织设计；4、其他经甲、乙双方签字盖章确认的补充文件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提供给承包人的用于施工的其他场所</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规划红线范围内的用地</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发包人提供的用于本工程的除永久的其他临时占地</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相城区及望亭镇相关文件</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1.4.1适用于工程的标准规范包括：</w:t>
      </w:r>
      <w:r>
        <w:rPr>
          <w:rFonts w:ascii="SimSun" w:hAnsi="SimSun" w:eastAsia="SimSun" w:cs="SimSun"/>
          <w:color w:val="000000"/>
          <w:sz w:val="24"/>
          <w:u w:val="single"/>
        </w:rPr>
        <w:t xml:space="preserve">1、现行最新国家、行业及地方标准、规范、规程；2、双方约定的其他标准规范</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本工程无国外标准和规范</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1.4.3发包人对工程的技术标准和功能要求的特殊要求：</w:t>
      </w:r>
      <w:r>
        <w:rPr>
          <w:rFonts w:ascii="SimSun" w:hAnsi="SimSun" w:eastAsia="SimSun" w:cs="SimSun"/>
          <w:color w:val="000000"/>
          <w:sz w:val="24"/>
          <w:u w:val="single"/>
        </w:rPr>
        <w:t xml:space="preserve">详见技术标准和要求</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合同文件组成及解释顺序：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（1）本合同协议书</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（2）中标通知书</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（3）投标书及其附件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（4）本合同专用条款</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（5）本合同通用条款</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（6）技术标准和要求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（7）图纸</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（8）已标价工程量清单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（9）其他合同文件。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上述各项合同文件包括合同当事人就该项合同文件所作出的补充和修改，同一类的文件以最新签署的为准，如涉及技术要求方面则以标准高的为准</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最迟为开工通知载明的开工日期前7天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3套</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合同施工范围内的施工图</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（1）施工组织设计（包括施工总进度计划、施工总平面图、施工现场人员组织机构图；</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（2）招标工程量清单偏差报告书；</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（3）工程检测方案及检测工程量清单；</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（4）项目组织机构人员劳动合同及社保证明；</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（5）按季度编制的支付分解表；</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（6）专项施工方案</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（7）深化设计方案及图纸</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（1）第1、3、4、5项在合同签订后20天内或根据工程实际情况约定；（2）第2项在合同签订后30天内；（3）第6、7根据进度情况按发包人要求</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4份</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书面及电子文件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按合同相关条款期限</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3</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.10.1 出入现场的权利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.10.3 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根据现状已有交通条件处理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根据现状条件，进场时按发包人要求</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按照通用条款执行</w:t>
      </w:r>
      <w:r>
        <w:rPr>
          <w:rFonts w:ascii="SimSun" w:hAnsi="SimSun" w:eastAsia="SimSun" w:cs="SimSun"/>
          <w:color w:val="000000"/>
          <w:sz w:val="24"/>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按照通用条款执行</w:t>
      </w:r>
      <w:r>
        <w:rPr>
          <w:rFonts w:ascii="SimSun" w:hAnsi="SimSun" w:eastAsia="SimSun" w:cs="SimSun"/>
          <w:color w:val="000000"/>
          <w:sz w:val="24"/>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按照通用条款执行</w:t>
      </w:r>
      <w:r>
        <w:rPr>
          <w:rFonts w:ascii="SimSun" w:hAnsi="SimSun" w:eastAsia="SimSun" w:cs="SimSun"/>
          <w:color w:val="000000"/>
          <w:sz w:val="24"/>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按照通用条款执行</w:t>
      </w:r>
      <w:r>
        <w:rPr>
          <w:rFonts w:ascii="SimSun" w:hAnsi="SimSun" w:eastAsia="SimSun" w:cs="SimSun"/>
          <w:color w:val="000000"/>
          <w:sz w:val="24"/>
        </w:rPr>
        <w:t xml:space="preserve">。</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按照通用条款执行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是</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 发包人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经发包人授权并在授权范围内代表发包人行使业主权利，监督本工程各参建方的各项行为，控制本工程的实施全过程，对投资、进度、质量、安全有决定权，签发或签署各种相关指令，报表及支付凭证，处理施工过程中的各有关事宜</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（1）施工场地具备施工条件的要求及完成的时间：已基本到位，承包人已自行现场踏勘并充分了解现场条件，相关费用已包含在投标报价中。</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施工所需的水、电、接至施工场地的时间、地点和供应要求：由发包人提供施工用水水源和用电电源接驳点，其余由施工单位自行架设或铺设，并满足施工要求，接入点至施工现场段管道/管线、计量设备由承包人自行解决，并自行缴纳水电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（3）施工场地及施工道路通道开通时间和要求：以踏勘现场为准，承包人自行办理和承担费用，发包人配合。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（4）工程地质和地下管线资料的提供时间： 需要时工程地质勘察报告、地下管线资料由发包人提供，承包人协助收集，相关费用承包人在报价中已充分考虑。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（5）由发包人办理的施工所需证件、批件的名称和完成时间：施工许可证及开工所需的有关证件由承包人协助发包人共同办理。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（6）水准点与座标控制点交验要求：正式开工前，书面提供、现场交接。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（7）图纸会审和设计交底时间：正式开工前。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（8）协调处理施工场地周围地下管线和邻近建筑物、构筑物（含文物保护建筑）、古树名木的安全保护工作：承包人负责处理，如有费用支出由相关责任人承担。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（9）双方约定发包人应做的其他工作：如涉及，双方现场协商</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否</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 承包人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（2）按法律规定和合同约定完成工程，并在保修期内承担保修义务；</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（3）承包人应严格按照《江苏省建筑施工现场文明施工管理规定》落实安全文明施工，如工程实施期间国家、省、市有新的安全文明施工要求的，承包人应无条件执行。</w:t>
      </w:r>
      <w:r/>
    </w:p>
    <w:p>
      <w:pPr>
        <w:ind w:left="63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（4）承包人应根据工程进度计划的要求编制详细的施工组织设计、专项施工方案、见证取样送检方案等，对施工作业和施工方法的完备性和可靠性负责。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（5）承包人提交的竣工资料的内容：</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竣工图纸、竣工验收资料、竣工结算资料及苏州市规定的其他资料</w:t>
      </w:r>
      <w:r>
        <w:rPr>
          <w:rFonts w:ascii="SimSun" w:hAnsi="SimSun" w:eastAsia="SimSun" w:cs="SimSun"/>
          <w:color w:val="000000"/>
          <w:sz w:val="24"/>
        </w:rPr>
        <w:t xml:space="preserve">。</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竣工验收合格后30日内，提供符合苏州市建设工程档案归档规范要求及苏州市城建档案馆要求的竣工图纸及资料各肆套</w:t>
      </w:r>
      <w:r>
        <w:rPr>
          <w:rFonts w:ascii="SimSun" w:hAnsi="SimSun" w:eastAsia="SimSun" w:cs="SimSun"/>
          <w:color w:val="000000"/>
          <w:sz w:val="24"/>
        </w:rPr>
        <w:t xml:space="preserve">。</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承包人承担</w:t>
      </w:r>
      <w:r>
        <w:rPr>
          <w:rFonts w:ascii="SimSun" w:hAnsi="SimSun" w:eastAsia="SimSun" w:cs="SimSun"/>
          <w:color w:val="000000"/>
          <w:sz w:val="24"/>
        </w:rPr>
        <w:t xml:space="preserve">。</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竣工验收合格后30天内</w:t>
      </w:r>
      <w:r>
        <w:rPr>
          <w:rFonts w:ascii="SimSun" w:hAnsi="SimSun" w:eastAsia="SimSun" w:cs="SimSun"/>
          <w:color w:val="000000"/>
          <w:sz w:val="24"/>
        </w:rPr>
        <w:t xml:space="preserve">。</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纸质及电子光盘，符合苏州市建设工程档案归档规范要求及苏州市城建档案馆要求</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（6）承包人应履行的其他义务：</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承包人的一般义务</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（2）按法律规定和合同约定完成工程，并在保修期内承担保修义务；</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（3）承包人应严格按照《江苏省建筑施工现场文明施工管理规定》落实安全文明施工，如工程实施期间国家、省、市有新的安全文明施工要求的，承包人应无条件执行。</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（4）承包人应根据工程进度计划的要求编制详细的施工组织设计、专项施工方案、见证取样送检方案等，对施工作业和施工方法的完备性和可靠性负责。</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 应提供计划、报表的名称及完成时间：正式开工之前二日，完善细化投标的施工组织设计，提供实施性的施工组织设计、材料、设备、人员进场计划及当月工程进度计划。工程进度计划要充分考虑邻近工程的进度情况。 </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承担施工安全保卫工作及非夜间施工照明的责任和要求：承包方全权负责，并在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w:t>
      </w:r>
      <w:r>
        <w:rPr>
          <w:rFonts w:ascii="SimSun" w:hAnsi="SimSun" w:eastAsia="SimSun" w:cs="SimSun"/>
          <w:color w:val="000000"/>
          <w:sz w:val="24"/>
          <w:u w:val="single"/>
        </w:rPr>
        <w:t xml:space="preserve">工程施工现场应配备必要的标示标牌等指示设施，费用自行考虑，计入措施费。 </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③向发包人提供的办公和生活房屋及设施的要求：无偿提供业主办公室 1间，监理办公室1 间，监理宿舍1间；每间办公室面积不小于15平米、并配备不少于3人办公的桌椅、2只标准文件柜和空调、网络等，同时提供一间面积不小于50平米的公用会议室；费用由承包人承担。</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④需承包人办理的有关施工场地交通、环卫和施工噪音管理等手续： 按苏州市、相城区及望亭镇颁布的有关建设工程施工现场交通、环卫、防噪音等方面的管理规定办理并由承包人承担相应费用。 </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⑥施工场地周围地下管线和邻近建筑物、构筑物（含文物保护建筑）、古树名木的保护要求及费用承担：承包人负责处理，如有费用支出由相关责任人承担。</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⑦施工场地清洁卫生的要求：施工期间按环卫、城管、建设行政主管部门的要求执行，施工后做到工完场清。  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 元/次作为违约金无条件支付。</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⑧双方约定承包人应做的其他工作：</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A、办理开工前相关手续，费用按规定各自承担。</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B、承包人在合同生效后20天内向发包人提交招标工程量清单偏差报告书，并与发包人或发包人委托造价人员进行核对；</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C、承包人应在开工前编制工程试验检测方案（应包括检测项目和数量），报监理及发包人审核后签订。</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F、承包人负责在工程建设期间拍摄、制作声像及影音资料，尤其是工程重点部位、关键工序、重要节点、重大活动声像及影音资料要求保证及时、完整、高质，声像及影音资料制作。</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G、承包人在室外管网开始施工前，应对发包人提供的室外管网接驳点位置、标高进行校核，避免造成不必要的损失。</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I、承包人应服从发包人委托的项目管理公司（或监理人）的管理与监理。对无故不服从监理指令的行为每发生一次，承包人向发包人支付 0.3—1 万元人民币的违约金。</w:t>
      </w:r>
      <w:r/>
    </w:p>
    <w:p>
      <w:pPr>
        <w:ind w:left="63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J、承包人应配合做好地下室预埋管线的封堵工作</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代表承包人负责履行合同范围内的工作，全面负责本工程的组织、协调和管理，签发或签署各种相关指令，报表、支付申请，处理施工过程中的各项有关事宜</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不少于22天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支付违约金10万元</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缺勤一天支付2000元/天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承包人擅自更换项目经理的违约责任：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支付违约金10万元</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承包人无正当理由拒绝更换项目经理的违约责任：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从接到发包人书面通知之日起2000元/天，30天内不更换的，发包人可以单方面中止合同，因此给发包人造成的相关损失由承包人承担</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与施工组织设计同时提交</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按项目管理人员擅自离开施工现场处理，支付违约金1000元/天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书面向监理人、发包人请假</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支付违约金50000元/人次</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支付违约金1000元/天</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 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.5.1 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全部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w:t>
      </w:r>
      <w:r>
        <w:rPr>
          <w:rFonts w:ascii="SimSun" w:hAnsi="SimSun" w:eastAsia="SimSun" w:cs="SimSun"/>
          <w:color w:val="000000"/>
          <w:sz w:val="24"/>
          <w:u w:val="none"/>
        </w:rPr>
        <w:t xml:space="preserve">.5.2分包的确定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否</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 监</w:t>
      </w:r>
      <w:r>
        <w:rPr>
          <w:rFonts w:ascii="SimSun" w:hAnsi="SimSun" w:eastAsia="SimSun" w:cs="SimSun"/>
          <w:b/>
          <w:color w:val="000000"/>
          <w:sz w:val="24"/>
        </w:rPr>
        <w:t xml:space="preserve">理人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承包人承包范围内的所有工程</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法律、法规、监理规范、监理合同规定的所有权限。但下列权限需发包人书面认可有效：</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A、同时担任多个项目的总监；</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B、调整批准的监理规划；</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C、调换总监代表或主要专业监理工程师；</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D、签发开、停工令；</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E、处理施工索赔问题，审批工期延长；</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F、审批工程变更的费用和工期费用。</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G、其他可能导致签约合同价款增加或减少的书面文件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办公室1间，配置空调办公座椅等设施，满足日常办公需要</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（1）按照通用条款执行；</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（2）按照通用条款执行；</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（3）按照通用条款执行</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 工程质量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none"/>
        </w:rPr>
        <w:t xml:space="preserve">.1.1 特殊质量标准和要求：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24</w:t>
      </w:r>
      <w:r>
        <w:rPr>
          <w:rFonts w:ascii="SimSun" w:hAnsi="SimSun" w:eastAsia="SimSun" w:cs="SimSun"/>
          <w:color w:val="000000"/>
          <w:sz w:val="24"/>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48</w:t>
      </w:r>
      <w:r>
        <w:rPr>
          <w:rFonts w:ascii="SimSun" w:hAnsi="SimSun" w:eastAsia="SimSun" w:cs="SimSun"/>
          <w:color w:val="000000"/>
          <w:sz w:val="24"/>
        </w:rPr>
        <w:t xml:space="preserve">小时。</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 安全文明施工与环境保护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6.1.1项目安全生产的达标目标及相应事项的约定：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无安全事故</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6.1.3 特别安全生产事项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其他安全施工事项：承包人除按照通用合同条款第6.1.3条内容要求实施外，还应满足如下要求：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承包人应严格按标准组织施工，并同时接受行业人员依法实施的监督检查，采取必要的安全防护措施，消除事故隐患；承包人负责施工现场的安全及第三方人身安全。承包人应严格遵守安全文明施工有关规定，注意施工场地及周边高压电线、地下电缆、地下管线等可能带来施工安全隐患的问题，并承担由此可能产生的费用。</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承包人必须提供和维护非夜间施工使用的照明、围栏、标志设施，并负责安全保卫，确保过路行人和车辆的安全。因承包人未设置以上照明、围栏、标志设施导致的安全事故由承包人负责，并承担可能产生的一切费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承包人负责编制施工现场治安管理方案，编制过程中应充分与当地治安管理部门沟通，制定突发治安事件紧急预案</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承包人应在进场后7天内上报施工场地治安管理方案</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除满足《江苏省建筑施工标准化文明示范工地要求》外，还应满足下列要求: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 施工弃土、建筑垃圾处理：弃土、建筑垃圾必须由承包人运出施工现场，严禁任意丢弃。如有发现，发包人有权向承包人收取违约金2000元/次。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 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扬尘和噪声控制：承包人应根据苏建质【2014】39号文要求，做好扬尘防治工作，费用包含在安全文明施工费仲，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承包人需按苏州市、相城区及望亭镇有关规定以及有关职能部门要求办理有关施工场地交通、环卫和施工噪音管理等手续。在相城区举行重大活动时，根据发包人要求，需积极做好道路保洁、交通畅通、施工噪音等方面的临时突击工作，费用由承包人承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开工前支付安全文明施工基本费的60%</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工期和进度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①甲供设备进场计划。</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②专业工程、材料设备暂估价招标方案及招标计划</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7.1.2施工组织设计的提交和修改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合同签订后20天内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.2 施工进度计划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7天</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正式开工前一周</w:t>
      </w:r>
      <w:r>
        <w:rPr>
          <w:rFonts w:ascii="SimSun" w:hAnsi="SimSun" w:eastAsia="SimSun" w:cs="SimSun"/>
          <w:color w:val="000000"/>
          <w:sz w:val="24"/>
        </w:rPr>
        <w:t xml:space="preserve">。</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承包人应在合同签订后5个工作日内完成施工合同网上备案工作，并取得主管部门签署的施工合同备案表，如不能按期备案，给建设单位造成工期延误的，需每天支付发包人合同价万分之二的违约金</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w:t>
      </w:r>
      <w:r>
        <w:rPr>
          <w:rFonts w:ascii="SimSun" w:hAnsi="SimSun" w:eastAsia="SimSun" w:cs="SimSun"/>
          <w:color w:val="000000"/>
          <w:sz w:val="24"/>
          <w:u w:val="single"/>
        </w:rPr>
        <w:t xml:space="preserve">60</w:t>
      </w:r>
      <w:r>
        <w:rPr>
          <w:rFonts w:ascii="SimSun" w:hAnsi="SimSun" w:eastAsia="SimSun" w:cs="SimSun"/>
          <w:color w:val="000000"/>
          <w:sz w:val="24"/>
        </w:rPr>
        <w:t xml:space="preserve">天内发出开工通知的，承包人有权提出价格调整要求，或者解除合同。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 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（7）因发包人原因导致工期延误的其他情形：</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.5.2 因承包人原因导致工期延误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签约合同价的万分之二/天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w:t>
      </w:r>
      <w:r>
        <w:rPr>
          <w:rFonts w:ascii="SimSun" w:hAnsi="SimSun" w:eastAsia="SimSun" w:cs="SimSun"/>
          <w:color w:val="000000"/>
          <w:sz w:val="24"/>
          <w:u w:val="none"/>
        </w:rPr>
        <w:t xml:space="preserve">期竣工违约金的上限：</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.6 不</w:t>
      </w:r>
      <w:r>
        <w:rPr>
          <w:rFonts w:ascii="SimSun" w:hAnsi="SimSun" w:eastAsia="SimSun" w:cs="SimSun"/>
          <w:color w:val="000000"/>
          <w:sz w:val="24"/>
        </w:rPr>
        <w:t xml:space="preserve">利物质条件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不利物质条件的其他情形和有关约定：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.7异常恶劣的气候条件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 材料与设备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.4材料与工程设备的保管与使用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.4.1发包人供应的材料设备的保管费用的承担：</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8.6.1样品的报送与封存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发包人在招标文件中设置推荐品牌或发包人书面要求的</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承包人承担 (包括临时占地所需的费用)，发包人协助办理相关手续</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w:t>
      </w:r>
      <w:r>
        <w:rPr>
          <w:rFonts w:ascii="SimSun" w:hAnsi="SimSun" w:eastAsia="SimSun" w:cs="SimSun"/>
          <w:b/>
          <w:color w:val="000000"/>
          <w:sz w:val="24"/>
          <w:u w:val="none"/>
        </w:rPr>
        <w:t xml:space="preserve">. 试验与检验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.1试验设备与试验人员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.1.2 试验设备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现行规范、标准要求的需要进行现场试验所需的条件</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 变更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0.1变更的范围</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p>
    <w:p>
      <w:pPr>
        <w:ind w:left="63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本工程相关变更、材料采购等流程办法按相城区及《望亭镇建设工程项目管理实施细则（试行）》等文件执行</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政府投资工程有关变更的处理办法执行《望亭镇建设工程项目管理实施细则（试行）》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应及时对招标工程量清单数量与施工图纸的工程数量进行校核，如两者的误差额达到《苏州市相城区区级政府投资建设工程变更备案管理实施细则》要求的备案起点时，必须在分部分项工程实施前向发包方提出变更费用申请，否则工程结算时对因此造成的造价增加将不予认可。</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按通用条款进行新增单价认定，但必须由发包人代表书面签认</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7天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14天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w:t>
      </w:r>
      <w:r>
        <w:rPr>
          <w:rFonts w:ascii="SimSun" w:hAnsi="SimSun" w:eastAsia="SimSun" w:cs="SimSun"/>
          <w:color w:val="000000"/>
          <w:sz w:val="24"/>
          <w:u w:val="none"/>
        </w:rPr>
        <w:t xml:space="preserve">包人提出的合理化建议降低了合同价格或者提高了工程经济效益的奖励的方法和金额为：</w:t>
      </w:r>
      <w:r>
        <w:rPr>
          <w:rFonts w:ascii="SimSun" w:hAnsi="SimSun" w:eastAsia="SimSun" w:cs="SimSun"/>
          <w:color w:val="000000"/>
          <w:sz w:val="24"/>
          <w:u w:val="single"/>
        </w:rPr>
        <w:t xml:space="preserve">另行商定</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0.7 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w:t>
      </w:r>
      <w:r>
        <w:rPr>
          <w:rFonts w:ascii="SimSun" w:hAnsi="SimSun" w:eastAsia="SimSun" w:cs="SimSun"/>
          <w:color w:val="000000"/>
          <w:sz w:val="24"/>
          <w:u w:val="none"/>
        </w:rPr>
        <w:t xml:space="preserve">估价材料和工程设备的明细详见附件11：《暂估价一览表》。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0.7.1 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10.7.2 不属于依法必须招标的暂估价项目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第3种方式：承包人直接实施的暂估价项目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实施前28天报发包人批准后实施</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按相关规定执行</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 价格调整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 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本工程不调整</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因市场价格波动调整合同价格，采用以下第</w:t>
      </w:r>
      <w:r>
        <w:rPr>
          <w:rFonts w:ascii="SimSun" w:hAnsi="SimSun" w:eastAsia="SimSun" w:cs="SimSun"/>
          <w:color w:val="000000"/>
          <w:sz w:val="24"/>
          <w:u w:val="single"/>
        </w:rPr>
        <w:t xml:space="preserve"> /  </w:t>
      </w:r>
      <w:r>
        <w:rPr>
          <w:rFonts w:ascii="SimSun" w:hAnsi="SimSun" w:eastAsia="SimSun" w:cs="SimSun"/>
          <w:color w:val="000000"/>
          <w:sz w:val="24"/>
        </w:rPr>
        <w:t xml:space="preserve">种方式对合同价格进行调整：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第1种方式：采用价格指数进行价格调整。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关于各可调因子、定值和变值权重，以及基本价格指数及其来源的约定：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第2种方式：采用造价信息进行价格调整。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（2）关于基准价格的约定：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③承包人在已标价工程量清单或预算书中载明的材料单价等于基准单价的：专用合同条款合同履行期间材料单价涨跌幅以基准单价为基础超过±%时，其超过部分据实调整。</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第3种方式：其他价格调整方式：</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12. </w:t>
      </w:r>
      <w:r>
        <w:rPr>
          <w:rFonts w:ascii="SimSun" w:hAnsi="SimSun" w:eastAsia="SimSun" w:cs="SimSun"/>
          <w:b/>
          <w:color w:val="000000"/>
          <w:sz w:val="24"/>
        </w:rPr>
        <w:t xml:space="preserve">合同价格、计量与支付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12.1 合</w:t>
      </w:r>
      <w:r>
        <w:rPr>
          <w:rFonts w:ascii="SimSun" w:hAnsi="SimSun" w:eastAsia="SimSun" w:cs="SimSun"/>
          <w:color w:val="000000"/>
          <w:sz w:val="24"/>
        </w:rPr>
        <w:t xml:space="preserve">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本工程预算中不计取风险费用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（1）合同中已有适用单价的，变更工程按已有单价调整合同价款。</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（2）合同中已有类似单价的，变更工程按类似单价调整合同价款。</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合同中没有适用或类似的单价的，由承包方提出变更价格，经甲方、监理确认变更价格，承包人没有提出变更价格的，合同外新增项目的综合单价按2013清单规范、2014计价定额、费用定额重新组价，并按中标下浮率下浮。如新增材料（设备）不在信息价材料清单内，需市场询价确定，则由监理单位、发包人询价确认，材料（设备）价格按中标下浮率下浮。人工按工程开竣工期间的造价处发布人工指导价的月度算术平均价确定，机械台班按工程开竣工期间的现行定额执行，材料价格以招标控制价编制采用月份的《苏州市建设工程材料信息价》计入。</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当审计价低于中标价时按审计价结算，当审计价高于中标价时按中标价结算（新增签证部分除外）</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不可抗力以外的其他所有风险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（如有另行约定）</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12.2 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按招标工程量清单采用的计算规则执行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按月进行（或其他）</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否</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如有（另行约定）</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12.4.1 付款周期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无进度款，工程竣工验收合格后最高付至经监理和发包人确认完成的合格工程量所对应的合同价款的50%;审计结束(收到最终审计报告)一年内最高支付至审定金额的80%;余款在审计结束后两年内，在无任何履约争议情况下无息付清(质量保修金除外)，质量保修金在满足合同约定的支付条件时结算支付(无息)。</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 验收和工程试车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24</w:t>
      </w:r>
      <w:r>
        <w:rPr>
          <w:rFonts w:ascii="SimSun" w:hAnsi="SimSun" w:eastAsia="SimSun" w:cs="SimSun"/>
          <w:color w:val="000000"/>
          <w:sz w:val="24"/>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48</w:t>
      </w:r>
      <w:r>
        <w:rPr>
          <w:rFonts w:ascii="SimSun" w:hAnsi="SimSun" w:eastAsia="SimSun" w:cs="SimSun"/>
          <w:color w:val="000000"/>
          <w:sz w:val="24"/>
        </w:rPr>
        <w:t xml:space="preserve">小时。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 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13.2.2竣工验收程序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按通用条款执行。电力通道建成后必须要通过电力部门验收，若未通过，造成的全部损失由乙方承担。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承包人在竣工验收合格后20天内将需要整改部分全部整改到位，并将工程使用说明书等文件呈交发包人，按照望亭镇政府相关规定履行相关移交手续，发包人审查合格后签发工程接受证书</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合同价的万分之二/天</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（如有，另行约定）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（1）单机无负荷试车费用由承担</w:t>
      </w:r>
      <w:r>
        <w:rPr>
          <w:rFonts w:ascii="SimSun" w:hAnsi="SimSun" w:eastAsia="SimSun" w:cs="SimSun"/>
          <w:color w:val="000000"/>
          <w:sz w:val="24"/>
          <w:u w:val="single"/>
        </w:rPr>
        <w:t xml:space="preserve">承包人</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（2）无负荷联动试车费用由承担</w:t>
      </w:r>
      <w:r>
        <w:rPr>
          <w:rFonts w:ascii="SimSun" w:hAnsi="SimSun" w:eastAsia="SimSun" w:cs="SimSun"/>
          <w:color w:val="000000"/>
          <w:sz w:val="24"/>
          <w:u w:val="single"/>
        </w:rPr>
        <w:t xml:space="preserve">承包人</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（如有，另行约定）</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按发包人书面要求退场</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14. 竣工结算</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竣工付款申请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SimSun" w:hAnsi="SimSun" w:eastAsia="SimSun" w:cs="SimSun"/>
          <w:color w:val="000000"/>
          <w:sz w:val="24"/>
          <w:u w:val="single"/>
        </w:rPr>
        <w:t xml:space="preserve">竣工验收合格后60日内将竣工结算资料提交至建设单位，逾期处以1000元/日的违约金。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竣工付款申请单应包括的内容：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竣工付款申请单应包括的内容： 1）工程竣工验收证明；2）结算汇总表及明细表（结算汇总表须加盖公章）；3）工程签证单原件及相应结算资料（含工程指令单、设计变更单原件）；4）水电费扣款明细；5）经相关人员签字确认的结算用竣工图纸；6）违约索赔资料；7）有关招标，投标文件文件（含电子，软件版）等</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按苏州市相城区及望亭镇相关规定执行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当审计核减率超过15%时，合同结算金额在原来约定下浮的基础上，再次下浮审计金额的2%作为最终结算金额；当审计核减率超过30%时，合同结算金额在原来约定下浮的基础上，再次下浮审计金额的5%作为最终结算金额。如工程结算核减超过送审总价7%，则超过7%部分的核减造价按4%计算费用，由施工单位承担（因漏项引起的核增造价不得抵冲），上述费用作为施工单位的让利，由审计机构在审定工程总造价中直接扣除，建设单位自愿同意按扣除上述费用后的审定造价支付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本工程结算以望亭镇审计部门审定结果为准，若区级及以上工程审计部门对该项目进行抽查复审，则其抽审核查结果为本项目的最终审定结果。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抽查复审的政府投资项目，在区审计局复审结果出来前要留取初次审计金额的5%作为保证金，在最终复审结果确定后付清余款。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按苏州市相城区及望亭镇相关规定执行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4份</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 缺陷责任期与保修</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工程竣工验收合格之日起24个月</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是</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3</w:t>
      </w:r>
      <w:r>
        <w:rPr>
          <w:rFonts w:ascii="SimSun" w:hAnsi="SimSun" w:eastAsia="SimSun" w:cs="SimSun"/>
          <w:color w:val="000000"/>
          <w:sz w:val="24"/>
        </w:rPr>
        <w:t xml:space="preserve">%的工程款；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（2）工程竣工结算时一次性扣留质量保证金；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详见质量保修书</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详见质量保修书</w:t>
      </w:r>
      <w:r>
        <w:rPr>
          <w:rFonts w:ascii="SimSun" w:hAnsi="SimSun" w:eastAsia="SimSun" w:cs="SimSun"/>
          <w:color w:val="000000"/>
          <w:sz w:val="24"/>
        </w:rPr>
        <w:t xml:space="preserve">。</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详见质量保修书</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 违约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105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16.1.2 发包人违约的责任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工期顺延，费用及利润不计</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另行协商处理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工期顺延，费用及利润不计</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工期顺延，费用及利润不计</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承包人按16.1.1项〔发包人违约的情形〕约定暂停施工满天后发包人仍不纠正其违约行为并致使合同目的不能实现的，承包人有权解除合同。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p>
    <w:p>
      <w:pPr>
        <w:ind w:left="42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不按照规范要求对进场材料向监理单位进行报验而擅自使用，隐蔽工程未按规范要求向监理单位进行报验通过验收而擅自进行下道工序的，处以违约金1000元/次。发包人如在现场发现承包人使用不符合合同要求的材料、设备的，处以违约金1000元/次。此违约金从当期工程款中扣除，不予返还。</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应根据总工期制定严密的节点工期、月进度计划、周进度计划，如不能按时完成经工程师审核的周进度计划的，处1000元/次违约金。当月如能完成月进度计划的，当月的周进度违约金返还。不能完成月进度计划的，另处以2000元/次违约金。累计两次无法完成经工程师审核的月施工进度计划时，发包人可要求更换主要项目管理人员，并处以10000元/次违约金。如承包人能在合同要求工期内完成全部合同内容，此违约金在完工时返还</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按合同专用条款各项中规定的数额支付违约金</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（1）承包人未按合同约定派驻项目经理，导致项目施工无法正常开展的。</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（2）承包人明确表示或者以其行为表明不履行合同主要义务的。</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因承包人违约导致合同无法履行，发包人可以要求解除合同，同时发包人有权向承包人收取合同标的额30%的违约金，由此给发包人造成的损失超过此金额的，须当对超过部分予以赔偿。</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对逾期未开工的（具体开工日期以开工报告或开工指令单为准），发包人有权向承包人收取2万元违约金，由此给发包人造成的损失超过此金额的，须当对超过部分予以赔偿。</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经验收合格的材料、设备、临时工程按投标文件计算工程费用的50% （未验收或验收不合格的不计取，并由承包人清场），承包人文件和由承包人或以其名义编制的其他文件费用不计</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 不可抗力</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45</w:t>
      </w:r>
      <w:r>
        <w:rPr>
          <w:rFonts w:ascii="SimSun" w:hAnsi="SimSun" w:eastAsia="SimSun" w:cs="SimSun"/>
          <w:color w:val="000000"/>
          <w:sz w:val="24"/>
        </w:rPr>
        <w:t xml:space="preserve">天内完成款项的支付。</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 保险</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承包人负责办理未履行施工合同聘请的第三方人员（包括甲方聘请的第三方人员）的意外伤害保险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争议解决</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149"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另行商定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另行商定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另行商定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因合同及合同有关事项发生的争议，按下列第种方式解决：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（1）向仲裁委员会申请仲裁；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苏州市相城区</w:t>
      </w:r>
      <w:r>
        <w:rPr>
          <w:rFonts w:ascii="SimSun" w:hAnsi="SimSun" w:eastAsia="SimSun" w:cs="SimSun"/>
          <w:color w:val="000000"/>
          <w:sz w:val="24"/>
        </w:rPr>
        <w:t xml:space="preserve">人民法院起诉。</w:t>
      </w:r>
      <w:r/>
    </w:p>
    <w:p>
      <w:pPr>
        <w:ind w:left="720" w:right="0" w:hanging="720"/>
        <w:spacing w:before="240" w:after="6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21.补充条款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一、造价（费用）及变更类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应已包括招标文件所确定的招标范围内相应图纸的全部内容，除非合同另有规定，投标报价须包括为实施和完成合同工程所需的劳务、材料、机械、管理、文明施工措施费、劳保费、保险费、税费、代理服务费以及承包人应有的合理利润等一切费用，以及合同明示或暗示的所有责任、义务和一切风险。投标报价应充分考虑施工期间各类建材的市场风险和国家政策性调整风险，自行考虑材料市场价格，确定投标单价和合价，在合同执行期间，合同约定投标人风险范围内所报价不再调整(合同明确约定可调的部分除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2、大型机械进退场费按2014定额取费，机械进退场按一次考虑，如果承包人自报的设备不能满足施工要求，发包人有权要求更多或更大的施工机械进场，由投标方在投标总价中考虑，结算时不作调整。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承包人原因而导致的工程变更，承包人无权要求追加合同价款及签证。发生清单以外的签证，按发包人和苏州市、相城区及望亭镇有关规定审批，结算时按投标文件同比下浮。工程所需水电费由施工队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4、该工程在未竣工验收且办理完移交手续之前所发生的安保看护费、防盗、防洪防台风等一切费用，请承包人在措施费及风险费中综合考虑，中标后不再有任何费用上的增加。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应在工程全过程中担负协调的责任：为发包人指派的配套工程分包商做好各项协调工作，并提供必要之施工条件及设施，如因协调不够而造成损失或费用，发包人将不予承担。承包人应向发包人指派的分包商提供下列现场设施及配合，包括但不限于以下项目：（1）提供正常施工所需之一切合理设施如脚手架井架塔吊等；（2）根据总工期目标及时提供合理的施工及材料堆放场地、作业面及作业时间；（3）提供足够且合适的存储区域，供存放送至工地的材料与设备；（4）提供垂直、水平运输设备或其他装运设备和脚手架；（5）提供临时供电、供水接入条件；</w:t>
      </w:r>
      <w:r>
        <w:rPr>
          <w:rFonts w:ascii="SimSun" w:hAnsi="SimSun" w:eastAsia="SimSun" w:cs="SimSun"/>
          <w:color w:val="000000"/>
          <w:sz w:val="24"/>
        </w:rPr>
        <w:t xml:space="preserve">（6）提供垃圾的集中堆放处，分包商必须把垃圾运送到工地内指定安放位置并定期清理；（7）提供整个工地的24小时安全保卫工作，防止盗窃事件的发生。对于业主直接分包的队伍，安全文明管理应纳入管理范畴。（8）施工、材料及各项验收资料的配合签字、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在工程量清单中提供了暂估价的材料和专业工程属于依法必须招标的，由承包人和发包人共同通过招标确定材料单价与专业工程分包价。若材料不属于依法必须招标的，经发、承包双方协商确认单价后计价,结算时暂定价材料只计取价差。若专业工程不属于依法必须招标的，经发、承包人与分包人按有关计价依据进行计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7、承包人在订立合同时必须提供详细的施工进度计划表。工期要求：按合同总工期完成，节点和竣工工期拖延一天按合同价的千分之一点五扣除违约金，工期延误违约金累计不超过合同价的5%。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8、工程保修期内如出现质量问题，承包人必须在7天内进行处理。否则，发包方可委托第三方处理，所产生的费用由承包人双倍承担。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9、因承包人原因而导致的材料和施工工艺不符合技术规范引起的工程质量问题，无论工程是否已验收合格、交付使用以及是否超过保修期，发包人或业主知道之日起两年内均享有对承包人的索赔追偿权利。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10、承包人应结合工程量清单及时组织施工材料，如有材料供应不上，确需换材的，所换材料不得低于原标准，并应提前书面报送发包人同意，所造成的材料差价由承包人承担。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1%的违约金，并有权在应付承包人的工程款中将相关款项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发包人提供的施工临时水电及其它相关设备、设施移交承包人使用后，由承包人负责看管、维修、安保等相关工作，非正常使用造成相关设备、设施的一切损失均由承包人承担，发包人在承包人归还前概不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13、对实施后无法进行复核的变更签证,承包方必须留下可证明相应工作量的影像资料，结算时如无影像资料或提供资料无法反映相应的工作量，结算审核时有权按照有利于发包方权利进行处理。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14、施工过程中对于业主及监理提出的质量、文明、安全或环境保护的整改要求，承包人 24 小时内未进行整改或整改后仍然无法满足要求时，每发生一次，承包人承担 5000 元的违约金。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15、承包人全权负责施工现场的全部安全工作，费用包含在合同总价中。承包人应严格按标准组织施工，采取必要的安全防护措施，消除事故隐患；发包人对工程事故不负任何责任。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16、承包人应在知道或应当知道索赔事件发生后28天内，向监理人递交索赔意向通知书，并说明发生索赔事件的事由。承包人未在28天内递交索赔意向通知书的，丧失要求追加付款和（或）延长工期的权利。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若施工中出现施工图纸（含设计变更）与工程量清单特征描述不符的，发、承包双方应按新的项目特征确定相应工程量清单的综合单价：若材料（品种、品牌或规格）发生变更，施工工艺不变，仅调整材料差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18、在项目开工前，需通过书面方式确认各单位签字人。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如招标时有材料品牌表，承包人施工时须使用材料品牌中的品牌或经甲方及监理同意的同档次品牌。承包人在施工前应将使用材料品牌书面报至甲方及监理，并经甲方及监理同意后方可施工，施工过程中除甲方同意外不得更换品牌。原投标综合单价中的品牌材料应业主要求变更时，结算时按业主方确认后的变更品牌材料价格替换原综合单价分析表中的品牌材料价格，该材料价格指按预算中的相应品牌材料单价而非投标报价中的品牌材料价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20、临时工程的布置应配合分段施工要求，总承包商须在需要时无偿予以调动。临时工程拆除后，总承包商须修复受影响地方。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21、以下情况暂停付款：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tab/>
        <w:t xml:space="preserve">未按规定要求报送月工报表及其有关信息资料不实的；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tab/>
        <w:t xml:space="preserve">有重大工程质量问题，造成经济损失或社会影响尚未处理完毕；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w:t>
        <w:tab/>
        <w:t xml:space="preserve">管理不善,建设资金使用中造成严重浪费的；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w:t>
        <w:tab/>
        <w:t xml:space="preserve">款项挪作他用。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w:t>
        <w:tab/>
        <w:t xml:space="preserve">其他违反合同条款的情况。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22、工地上的生活污水及废水应排入公共污水管网。临时排污须由承包商负责接通至市政污水主井，并向相关部门报批开通且承担与此有关的所有费用，发包人不承担有关污水管网连接中的一切责任。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23、合同条件中有关非承包人原因造成的停电、停水，在实际发生时，承包人应根据情况自行调整，发包人只视情况考虑工期问题，不承担窝工、施工机械停用等方面的损失。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24、投标人应填但未填单价和合价的工程项目，如实际未实施，结算时按预算的该项目合价*（1-中标下浮率）在分部分项部分扣除。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rPr>
          <w:rFonts w:ascii="SimSun" w:hAnsi="SimSun" w:eastAsia="SimSun" w:cs="SimSun"/>
          <w:color w:val="000000"/>
          <w:sz w:val="24"/>
          <w:u w:val="single"/>
        </w:rPr>
        <w:t xml:space="preserve">承包人转包本工程全部或者部分，或者未经发包人同意擅自分包本工程的，发包人取消承包人的施工资格，对于已施工部分的工程量不予结算，并要求承包人向发包人支付工程总造价10%的违约金。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26、本工程如需搭建临时围墙，该费用包含于投标总价中，承包人不得以任何围墙原因向发包人追索费用，并承诺施工现场满足相关文明施工要求，否则扣除承包人相关文明施工措施费。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28、施工中的所有降水及排水费用由施工单位自行考虑包干，结算不予调整。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对于已审核批准的施工组织设计（施工方案），或者乙方为保证工程质量、工程进度所采取的一切施工工艺、材料、技术方案，且原设计图纸或变更中也未注明的，将认为是乙方的施工措施考虑，费用由乙方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30、大型土石方部分的运距（含场外）由施工单位自行考虑，结算不予调整。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31、单价措施项目费用清单中，除脚手架及模板外，合同范围内的措施项目由投标单位在投标时充分考虑自行报价，结算时不予调整。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32、因进度提前，施工条件天气变化等所有因素引起的措施费用增加，承包人充分考虑，发包人不予调整增加。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w:t>
      </w:r>
      <w:r>
        <w:rPr>
          <w:rFonts w:ascii="SimSun" w:hAnsi="SimSun" w:eastAsia="SimSun" w:cs="SimSun"/>
          <w:color w:val="000000"/>
          <w:sz w:val="24"/>
        </w:rPr>
        <w:t xml:space="preserve">、承包人在承包过程中造成发包人、承包人人员、第三方人身性、财产性损害的，由承包人承担赔偿、补偿责任，若发包人先行承担的，则有权就承担部分及造成的损失全额向承包人追偿。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二、施工管理类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1、本工程系公开招标项目，对于招标文件的所有内容，是签订合同必须遵守之条款，若其他书面文件产生与招标文件相悖的内容，招标文件的有关条款将得到优先执行。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2、承包人承诺的项目负责人、项目技术负责人及各专业工程师必须为承包人的在职职工，在工程现场以及工程例会上必须到场，否则甲方有权进行处罚及单方终止合同，并要求承包人赔偿相关损失。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3、维保响应：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过程中对于甲方或监理方提出的质量、文明、安全或环境保护的整改要求，要求承包人在接到报修电话1小时内到达现场进行处理；常规故障处理2小时内完成；特殊情况双方协商解决。如未进行整改或整改后仍然无法满足要求时，每发生一次，承包人另外承担1000 元的违约金。</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（2）现场支持服务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至少安排驻场工程师1名，保障日常维保运行服务。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承包人在维护期间内将安排合适的工程师提供现场维护服务，该工程师将严格遵守甲方的上下班及休息时间。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必须做好工地周边相邻的所有市政基础设施、设备、各类综合管（杆）线、绿化景观的保护工作，施工过程中需严格按监理批准的方案进行操作，因野蛮施工损坏已有绿化或其它设施，业主将不予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假日或任何其他法定休息日：承包商被认为在他的工作进度计划中已为一切公认的节日、假日或任何其他法定休息日留有余地。规定的合同期被认为是包括这些日期在内，有关这些问题不再考虑任何延期或额外费用。如果承包商接到指令在法定假日以外的日期停工，发包人将给以适当延期以补偿中断的工作，但不予由此产生的任何费用补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6、承包人管理人员不适应或不能胜任本工程任务者，发包人有权通知承包人更换其他适合人选。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7、承包人搭建的临设工程结束后应负责拆除（塔吊等基础部分如发包方要求也应负责拆除），费用由承包方承担。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8、承包人员工都应是在各自行业内具有相应资质、技能和经验丰富的人员，发包人有权要求承包人撤换受雇于现场或工程的有下列行为的任何人员：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①经常行为不当或工作漫不经心的；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②不能履行义务或现场玩忽职守的；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③不遵守合同约定的；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④有损害安全、健康或有损坏环境保护行为的；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⑤打架斗殴、酗酒、盗窃等行为不检点的；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9、发包人有权要求承包人更换其认为不称职的项目经理，承包人应及时予以更换资质业绩需符合招标文件相关要求的项目经理。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由业主单位提供的临时道路，承包人使用期间应进行妥善保养、保修，因保养、保修不及时或承包人不在约定期限内派人修理，发包人可委托其他人员修理，修理费用由发包人从承包人的工程款中扣除，若因修理不及时导致发包方损失的承包人应承担相应赔偿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三、施工处罚类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项目负责人或项目工程师或其他管理人员未能很好履行其职责，发包人有权要求撤换，承包人应在收到该撤换要求后7日内更换，同时每发生一次，承包人向发包人支付以下金额的违约金：项目负责人或项目经理3万元/人次；其他管理人员1万元/人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验收通过后，承包人应在规定时间内移交全部结算资料。结算资料移交后不得再行增补结算资料。因结算资料不全引起的结算造价的误差，由承包人负责承担。超过六十天移交结算资料的承包人应承担相应的违约责任并支付违约金。违约金的计算方法为：按逾期天数累计计算，每逾期一天支付发包人500 元的违约金，该项违约金总额不得超过10万元。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3、所有发包人向承包人收取的违约金或承包人向发包人支付的违约金，无需承包人同意，发包人可以直接在竣工结算中扣除。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4、如果项目部主要人员未能很好履行其职责，发生违约行为时，发包人将会通过建设主管部门或网站等相关媒体进行曝光。同时对承包人处以下列违约金：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（1）工程质量保证体系落实不到位，经批准认可的保证体系人员（主要人员如：施工单位的项目经理、技术负责人等）未保持健全，每缺一人，结算时扣除合同价款0.2‰作为违约金。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（2）对监理人员签发的整改通知单，不及时整改者，每次应支付合同价款0.2‰作为违约金。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（3）出现工程质量事故隐瞒不报者，每次支付工程款1‰的违约金。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（4）发生质量事故未经设计单位和监理同意自行处理者每次扣除合同价款0.2-0.4‰作为违约金。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（5）对工程质量保证资料有意作假者，每次扣除合同价款0.2‰作为违约金。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（6）对有意偷工减料者视其程度扣除合同价款0.2-1‰作为违约金。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（7）对发生的工程质量事故另行按有关规定处理，造成永久缺陷者另行支付违约金。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管理公司在项目管理过程中，对现场存在的问题，以口头或通知单形式通知监理单位，由监理单位督促承包人进行整改处理，拒不整改的，发包人将向承包人收取违约金5000元/次；逾期处理的，发包人将向承包人收取违约金5000元/次，直至处理符合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6、竣工资料验收要求：工程验收后60天内提供完整的竣工资料，承包人必须提供竣工资料纸质按档案管理要求编制，电子档一份，每拖延一天扣除违约金500元。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7、业主(或监理)在现场如发现下列违规现象时，业主(或监理)将予以拍照记录，同时从承包商的到期款项或快到期的任何款项中按规定扣除违约金。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加强施工区域（包括临时道路）降尘控噪声措施，减少施工扬尘和噪声对周边企业和居民的影响，如因降尘、防噪措施不到位招致沿线单位市民投诉，发包人除要求承包人及时采取措施外，每次扣除承包人人民币2000元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9、道路保洁和养护: 承包人须负责施工区域的保洁工作，所发生费用在投标报价中予以考虑。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扣除承包人人民币2000元/次作为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10、保险凭证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11、本工程承包人已将与其它施工单位的配合费用考虑到合同价中，发包人不再承担为此发生的一切费用。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12、根据《2018年苏州市建筑领域治欠保支工作要点》要求，项目现场必须安装实名制管理系统。</w:t>
        <w:br/>
        <w:t xml:space="preserve">13、施工围挡：本项目围挡要求按相关文件执行。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协议书附件：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附件1：工程质量保修书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附件2：廉政合同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附件3：安全生产协议书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z w:val="24"/>
          <w:u w:val="none"/>
        </w:rPr>
        <w:t xml:space="preserve">件1：</w:t>
      </w:r>
      <w:r>
        <w:rPr>
          <w:rFonts w:ascii="SimSun" w:hAnsi="SimSun" w:eastAsia="SimSun" w:cs="SimSun"/>
          <w:color w:val="000000"/>
          <w:sz w:val="24"/>
        </w:rPr>
        <w:t xml:space="preserve">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SimSun" w:hAnsi="SimSun" w:eastAsia="SimSun" w:cs="SimSun"/>
          <w:color w:val="000000"/>
          <w:sz w:val="24"/>
          <w:u w:val="single"/>
        </w:rPr>
        <w:t xml:space="preserve"> 杨家沿路北延工程配套10KV电缆通道工程 </w:t>
      </w:r>
      <w:r>
        <w:rPr>
          <w:rFonts w:ascii="SimSun" w:hAnsi="SimSun" w:eastAsia="SimSun" w:cs="SimSun"/>
          <w:color w:val="000000"/>
          <w:sz w:val="24"/>
        </w:rPr>
        <w:t xml:space="preserve">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详见工程量清单及竣工图纸（如有）</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二、质量保修期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1．地基基础工程和主体结构工程为设计文件规定的工程合理使用年限；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2．屋面防水工程、有防水要求的卫生间、房间和外墙面的防渗为五年；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3．装修工程为二年；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二</w:t>
      </w:r>
      <w:r>
        <w:rPr>
          <w:rFonts w:ascii="SimSun" w:hAnsi="SimSun" w:eastAsia="SimSun" w:cs="SimSun"/>
          <w:color w:val="000000"/>
          <w:sz w:val="24"/>
        </w:rPr>
        <w:t xml:space="preserve">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二</w:t>
      </w:r>
      <w:r>
        <w:rPr>
          <w:rFonts w:ascii="SimSun" w:hAnsi="SimSun" w:eastAsia="SimSun" w:cs="SimSun"/>
          <w:color w:val="000000"/>
          <w:sz w:val="24"/>
        </w:rPr>
        <w:t xml:space="preserve">个采暖期、供冷期；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二</w:t>
      </w:r>
      <w:r>
        <w:rPr>
          <w:rFonts w:ascii="SimSun" w:hAnsi="SimSun" w:eastAsia="SimSun" w:cs="SimSun"/>
          <w:color w:val="000000"/>
          <w:sz w:val="24"/>
        </w:rPr>
        <w:t xml:space="preserve">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质量保修期自工程竣工验收合格之日起计算。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三、缺陷责任期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24</w:t>
      </w:r>
      <w:r>
        <w:rPr>
          <w:rFonts w:ascii="SimSun" w:hAnsi="SimSun" w:eastAsia="SimSun" w:cs="SimSun"/>
          <w:color w:val="000000"/>
          <w:sz w:val="24"/>
        </w:rPr>
        <w:t xml:space="preserve">个月，缺陷责任期自工程通过竣工验收之日起计算。单位工程先于全部工程进行验收，单位工程缺陷责任期自单位工程验收合格之日起算。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四、质量保修责任</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保修费用由造成质量缺陷的责任方承担。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、双方约定的其他工程质量保修事项：</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               委托代理人(签字)：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                       邮政编码：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廉政合同</w:t>
      </w:r>
      <w:r/>
    </w:p>
    <w:p>
      <w:pPr>
        <w:ind w:left="3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 包 人（甲方）：</w:t>
      </w:r>
      <w:r/>
    </w:p>
    <w:p>
      <w:pPr>
        <w:ind w:left="3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 包 人（乙方）：</w:t>
      </w:r>
      <w:r/>
    </w:p>
    <w:p>
      <w:pPr>
        <w:ind w:left="-2"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2"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甲乙双方的责任 </w:t>
      </w:r>
      <w:r/>
    </w:p>
    <w:p>
      <w:pPr>
        <w:numPr>
          <w:ilvl w:val="0"/>
          <w:numId w:val="2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甲乙双方应共同遵守国家和江苏省、苏州市以及行发包人管部门关于加强工程建设项目管理以及党风廉政建设的各项规定。 </w:t>
      </w:r>
      <w:r/>
    </w:p>
    <w:p>
      <w:pPr>
        <w:numPr>
          <w:ilvl w:val="0"/>
          <w:numId w:val="2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甲乙双方应严格执行工程建设项目承发包合同文件，自觉按合同办事。</w:t>
      </w:r>
      <w:r/>
    </w:p>
    <w:p>
      <w:pPr>
        <w:numPr>
          <w:ilvl w:val="0"/>
          <w:numId w:val="2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22"/>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甲乙双方如发现对方在业务活动中有违规、违纪、违法的行为，应及时提醒对方，情节严重的，应向其上级主管部门或纪检监察部门举报。 </w:t>
      </w:r>
      <w:r/>
    </w:p>
    <w:p>
      <w:pPr>
        <w:ind w:left="-2"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甲方的责任</w:t>
      </w:r>
      <w:r/>
    </w:p>
    <w:p>
      <w:pPr>
        <w:ind w:left="-2" w:right="0" w:firstLine="4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甲方的领导和从事该工程建设项目的工作人员，在工程建设的事前、事中、事后应遵守以下规定：</w:t>
      </w:r>
      <w:r/>
    </w:p>
    <w:p>
      <w:pPr>
        <w:numPr>
          <w:ilvl w:val="0"/>
          <w:numId w:val="23"/>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不准向乙方和相关单位索要或接受回扣、礼金、有价证券、贵重物品和好处费等。 </w:t>
      </w:r>
      <w:r/>
    </w:p>
    <w:p>
      <w:pPr>
        <w:numPr>
          <w:ilvl w:val="0"/>
          <w:numId w:val="23"/>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不准在乙方和相关单位报销任何应由甲方或个人支付的费用。 </w:t>
      </w:r>
      <w:r/>
    </w:p>
    <w:p>
      <w:pPr>
        <w:numPr>
          <w:ilvl w:val="0"/>
          <w:numId w:val="23"/>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不准要求、暗示或接受乙方和相关单位为个人装修住房、婚丧嫁娶、配偶子女的工作安排以及出国（境）、旅游等提供方便。 </w:t>
      </w:r>
      <w:r/>
    </w:p>
    <w:p>
      <w:pPr>
        <w:numPr>
          <w:ilvl w:val="0"/>
          <w:numId w:val="23"/>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不准参加有可能影响公正执行公务的乙方和相关单位的宴请、娱乐等活动。</w:t>
      </w:r>
      <w:r/>
    </w:p>
    <w:p>
      <w:pPr>
        <w:numPr>
          <w:ilvl w:val="0"/>
          <w:numId w:val="23"/>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2"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乙方的责任 </w:t>
      </w:r>
      <w:r/>
    </w:p>
    <w:p>
      <w:pPr>
        <w:ind w:left="-2"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乙方应与甲方保持正常的业务交往，按照有关法律法规和程序开展业务工作，严格执行工程建设的有关方针、政策，并遵守以下规定：</w:t>
      </w:r>
      <w:r/>
    </w:p>
    <w:p>
      <w:pPr>
        <w:numPr>
          <w:ilvl w:val="0"/>
          <w:numId w:val="2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不准以任何理由向甲方及其工作人员索要、接受或赠送礼金、有价证券、贵重物品及回扣、好处费等。</w:t>
      </w:r>
      <w:r/>
    </w:p>
    <w:p>
      <w:pPr>
        <w:numPr>
          <w:ilvl w:val="0"/>
          <w:numId w:val="2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不准以任何理由为甲方和相关单位报销应由对方或个人支付的费用。</w:t>
      </w:r>
      <w:r/>
    </w:p>
    <w:p>
      <w:pPr>
        <w:numPr>
          <w:ilvl w:val="0"/>
          <w:numId w:val="2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不准接受或暗示为甲方相关单位或个人装修住房、婚丧嫁娶、配偶子女的工作安排以及出国（境）、旅游等提供方便。</w:t>
      </w:r>
      <w:r/>
    </w:p>
    <w:p>
      <w:pPr>
        <w:numPr>
          <w:ilvl w:val="0"/>
          <w:numId w:val="2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不准以任何理由为甲方相关单位或个人组织有可能影响公正执行公务的宴请、娱乐等活动。 </w:t>
      </w:r>
      <w:r/>
    </w:p>
    <w:p>
      <w:pPr>
        <w:ind w:left="-2"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违约责任</w:t>
      </w:r>
      <w:r/>
    </w:p>
    <w:p>
      <w:pPr>
        <w:numPr>
          <w:ilvl w:val="0"/>
          <w:numId w:val="2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甲方或甲方工作人员有违反本合同第一、二条规定的，按照管理权限，由纪检监察部门依据有关法律法规给予党纪、政纪处分；涉嫌犯罪的，移交司法机关追究刑事责任。</w:t>
      </w:r>
      <w:r/>
    </w:p>
    <w:p>
      <w:pPr>
        <w:numPr>
          <w:ilvl w:val="0"/>
          <w:numId w:val="24"/>
        </w:numPr>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乙方或乙方工作人员有违反本合同第一、三条规定的，按照管理权限，纪检监察部门将建议相关建设主管部门给与相应的行政处罚；涉嫌犯罪的，移交司法机关追究刑事责任。</w:t>
      </w:r>
      <w:r/>
    </w:p>
    <w:p>
      <w:pPr>
        <w:ind w:left="-2"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本合同书作为工程建设项目施工合同的附件，与工程建设项目施工合同具有同等法律效力，经双方签署后生效。 </w:t>
      </w:r>
      <w:r/>
    </w:p>
    <w:p>
      <w:pPr>
        <w:ind w:left="-2"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本合同书一式肆份，由甲方、乙方各执贰份。 </w:t>
      </w:r>
      <w:r/>
    </w:p>
    <w:p>
      <w:pPr>
        <w:ind w:left="0" w:right="0" w:firstLine="0"/>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其委托代理人：</w:t>
      </w:r>
      <w:r/>
    </w:p>
    <w:p>
      <w:pPr>
        <w:ind w:left="0" w:right="0" w:firstLine="0"/>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本合同于年月日签订于苏州市相城区望亭镇。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安全生产协议书</w:t>
      </w:r>
      <w:r/>
    </w:p>
    <w:p>
      <w:pPr>
        <w:ind w:left="31"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发包人（甲方）：</w:t>
      </w:r>
      <w:r/>
    </w:p>
    <w:p>
      <w:pPr>
        <w:ind w:left="31"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承包人（乙方）：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工程概况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工程承包范围: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乙方资质及安全生产条件：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乙方应对承揽本工程所提供的资质、安全生产资格证书、安全生产条件等有关资料真实性负责。</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现场负责人及安全生产管理人员：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乙方指定本工程项目经理为现场负责人；并落实专职安全生产管理人员。　　　　</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甲方的责任和权利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1、甲方应要求乙方制定</w:t>
      </w:r>
      <w:hyperlink r:id="rId20" w:tooltip="http://www.hbsafety.cn/article/63/" w:history="1">
        <w:r>
          <w:rPr>
            <w:rStyle w:val="1020"/>
            <w:rFonts w:ascii="SimSun" w:hAnsi="SimSun" w:eastAsia="SimSun" w:cs="SimSun"/>
            <w:color w:val="000000"/>
            <w:sz w:val="24"/>
            <w:u w:val="single"/>
          </w:rPr>
          <w:t xml:space="preserve">施工安全</w:t>
        </w:r>
      </w:hyperlink>
      <w:r>
        <w:rPr>
          <w:rFonts w:ascii="SimSun" w:hAnsi="SimSun" w:eastAsia="SimSun" w:cs="SimSun"/>
          <w:color w:val="000000"/>
          <w:sz w:val="24"/>
        </w:rPr>
        <w:t xml:space="preserve">措施，在开始施工前报甲方备案。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3、甲方指派本工程监理人及总监负责与乙方联系安全生产方面的工作。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4、乙方在施工中发生的人身、财产</w:t>
      </w:r>
      <w:hyperlink r:id="rId21" w:tooltip="http://www.hbsafety.cn/article/33/" w:history="1">
        <w:r>
          <w:rPr>
            <w:rStyle w:val="1020"/>
            <w:rFonts w:ascii="SimSun" w:hAnsi="SimSun" w:eastAsia="SimSun" w:cs="SimSun"/>
            <w:color w:val="000000"/>
            <w:sz w:val="24"/>
            <w:u w:val="single"/>
          </w:rPr>
          <w:t xml:space="preserve">事故</w:t>
        </w:r>
      </w:hyperlink>
      <w:r>
        <w:rPr>
          <w:rFonts w:ascii="SimSun" w:hAnsi="SimSun" w:eastAsia="SimSun" w:cs="SimSun"/>
          <w:color w:val="000000"/>
          <w:sz w:val="24"/>
        </w:rPr>
        <w:t xml:space="preserve">，甲方有责任负责调查、统计上报。乙方在施工中如发生国务院《特别重大</w:t>
      </w:r>
      <w:hyperlink r:id="rId22" w:tooltip="http://www.hbsafety.cn/article/33/" w:history="1">
        <w:r>
          <w:rPr>
            <w:rStyle w:val="1020"/>
            <w:rFonts w:ascii="SimSun" w:hAnsi="SimSun" w:eastAsia="SimSun" w:cs="SimSun"/>
            <w:color w:val="000000"/>
            <w:sz w:val="24"/>
            <w:u w:val="single"/>
          </w:rPr>
          <w:t xml:space="preserve">事故</w:t>
        </w:r>
      </w:hyperlink>
      <w:r>
        <w:rPr>
          <w:rFonts w:ascii="SimSun" w:hAnsi="SimSun" w:eastAsia="SimSun" w:cs="SimSun"/>
          <w:color w:val="000000"/>
          <w:sz w:val="24"/>
        </w:rPr>
        <w:t xml:space="preserve">调查程序暂行规定》所规定的特大</w:t>
      </w:r>
      <w:hyperlink r:id="rId23" w:tooltip="http://www.hbsafety.cn/article/33/" w:history="1">
        <w:r>
          <w:rPr>
            <w:rStyle w:val="1020"/>
            <w:rFonts w:ascii="SimSun" w:hAnsi="SimSun" w:eastAsia="SimSun" w:cs="SimSun"/>
            <w:color w:val="000000"/>
            <w:sz w:val="24"/>
            <w:u w:val="single"/>
          </w:rPr>
          <w:t xml:space="preserve">事故</w:t>
        </w:r>
      </w:hyperlink>
      <w:r>
        <w:rPr>
          <w:rFonts w:ascii="SimSun" w:hAnsi="SimSun" w:eastAsia="SimSun" w:cs="SimSun"/>
          <w:color w:val="000000"/>
          <w:sz w:val="24"/>
        </w:rPr>
        <w:t xml:space="preserve">，甲方有权督促乙方立即通知当地政府和公安部门，要求派人保护现场；并有权要求乙方提供</w:t>
      </w:r>
      <w:hyperlink r:id="rId24" w:tooltip="http://www.hbsafety.cn/article/33/" w:history="1">
        <w:r>
          <w:rPr>
            <w:rStyle w:val="1020"/>
            <w:rFonts w:ascii="SimSun" w:hAnsi="SimSun" w:eastAsia="SimSun" w:cs="SimSun"/>
            <w:color w:val="000000"/>
            <w:sz w:val="24"/>
            <w:u w:val="single"/>
          </w:rPr>
          <w:t xml:space="preserve">事故</w:t>
        </w:r>
      </w:hyperlink>
      <w:r>
        <w:rPr>
          <w:rFonts w:ascii="SimSun" w:hAnsi="SimSun" w:eastAsia="SimSun" w:cs="SimSun"/>
          <w:color w:val="000000"/>
          <w:sz w:val="24"/>
        </w:rPr>
        <w:t xml:space="preserve">调查书面结论及处理意见。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5、甲方不得要求乙方违反</w:t>
      </w:r>
      <w:hyperlink r:id="rId25" w:tooltip="http://www.hbsafety.cn/article/12/" w:history="1">
        <w:r>
          <w:rPr>
            <w:rStyle w:val="1020"/>
            <w:rFonts w:ascii="SimSun" w:hAnsi="SimSun" w:eastAsia="SimSun" w:cs="SimSun"/>
            <w:color w:val="000000"/>
            <w:sz w:val="24"/>
            <w:u w:val="single"/>
          </w:rPr>
          <w:t xml:space="preserve">安全管理</w:t>
        </w:r>
      </w:hyperlink>
      <w:r>
        <w:rPr>
          <w:rFonts w:ascii="SimSun" w:hAnsi="SimSun" w:eastAsia="SimSun" w:cs="SimSun"/>
          <w:color w:val="000000"/>
          <w:sz w:val="24"/>
        </w:rPr>
        <w:t xml:space="preserve">规定进行施工。由此而导致的</w:t>
      </w:r>
      <w:hyperlink r:id="rId26" w:tooltip="http://www.hbsafety.cn/article/33/" w:history="1">
        <w:r>
          <w:rPr>
            <w:rStyle w:val="1020"/>
            <w:rFonts w:ascii="SimSun" w:hAnsi="SimSun" w:eastAsia="SimSun" w:cs="SimSun"/>
            <w:color w:val="000000"/>
            <w:sz w:val="24"/>
            <w:u w:val="single"/>
          </w:rPr>
          <w:t xml:space="preserve">事故</w:t>
        </w:r>
      </w:hyperlink>
      <w:r>
        <w:rPr>
          <w:rFonts w:ascii="SimSun" w:hAnsi="SimSun" w:eastAsia="SimSun" w:cs="SimSun"/>
          <w:color w:val="000000"/>
          <w:sz w:val="24"/>
        </w:rPr>
        <w:t xml:space="preserve">由甲方承担责任。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乙方的责任和权利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1、乙方负责人是安全生产的第一责任人，对本工程的安全生产负全责。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2、乙方的安全目标应与甲方总体安全目标相一致。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3、乙方应当具备《中华人民共和国安全生产法》和有关法律、行政法规和国家标准或者行业标准规定的安全生产条件；不具备安全生产条件的，不得承包本工程。</w:t>
      </w:r>
      <w:r/>
    </w:p>
    <w:p>
      <w:pPr>
        <w:ind w:left="46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4、乙方单位的主要负责人对本单位安全生产工作负有下列职责：</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建立、健全本单位安全生产责任制；</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建立健全安全生产保证体系及安全组织机构，设立专职安全生产管理人员，建立健全现场安全责任制和消防安全责任制度。</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组织制定本单位安全生产规章制度和操作规程；</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组织制定并实施本单位安全生产教育和培训计划；</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保证本单位安全生产投入的有效实施；</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督促、检查本单位的安全生产工作，及时消除生产安全事故隐患；</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组织制定并实施本单位的生产安全事故应急救援预案；</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及时、如实报告生产安全事故。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5、严格执行甲方的安全生产管理制度及甲方的质量、职业健康安全、环境管理体系标准。遵守国家有关法律、法规、国家标准或行业标准和安全技术操作规程。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7、乙方应当具备安全生产条件所必需的资金投入，由乙方单位的决策机构、主要负责人或者个人经营的投资人予以保证，并对由于安全生产所必需的资金不足导致的后果承担责任。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8、乙方的项目负责人、专职安全生产管理人员和特种作业人员应按照国家有关规定经过相关培训，取得相应资格，并在现有的资质等级许可的范围内承揽工程。持岗位证上岗。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9、乙方单位的安全管理机构以及安全生产管理人员履行下列职责：</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组织或者参与拟订本项目安全生产规章制度、操作规程和生产安全事故应急救援预案；</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组织或者参与本项目安全生产教育和培训，如实记录安全生产教育和培训情况；</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督促落实本项目重大危险源的安全管理措施；</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组织或者参与本项目应急救援演练；</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检查本项目的安全生产状况，及时排查生产安全事故隐患，提出改进安全生产管理的建议；</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制止和纠正违章指挥、强令冒险作业、违反操作规程的行为；</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督促落实本项目安全生产整改措施。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12、乙方应当在有较大危险因素的生产经营场所和有关设施、设备上，设置明显的安全警示标志。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13、乙方必须依法参加工伤保险，为从业人员缴纳保险费，为从事危险作业的人员办理意外伤害保险，支付保险费，并将保单复印件交给甲方备查。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15、施工过程中对人的不安全行为，物的不安全状态，作业环境的不安全因素和管理缺陷进行控制。严格按照安全施工要求进行施工，杜绝强令员工冒险作业和违章作业现象出现。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16、乙方施工现场的安全控制由乙方单位负责人负责。服从监理人、发包人、建设单位对施工现场的安全管理。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17、乙方不得将生产经营项目、场所、设备发包或者出租给不具备安全生产条件或者相应资质的单位或者个人。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18、按部颁JGJ59-99标准要求对施工现场进行有效控制。如有严重违反JGJ59-99标准保证项目条款，甲方单位有权提出停工并罚款。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19、平时进行安全检查，对安全隐患及时整改。对甲方单位签发的安全检查整改通知单应无条件地整改。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20、乙方有权对甲方的安全管理提出合理化建议。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21、每月在规定的时间内及时向甲方上报各种安全统计数据。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22、乙方所使用的安全防护用品（如安全帽、安全带、防护胶等）必须是按照国家规范采购的合格用品，并将安全防护用品合格证报给甲方备案。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24、乙方在施工中必须加强安全管理，由于管理不到位造成负面影响，乙方将承担全部责任，并承担由此给甲方造成的名誉及经济损失。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25、如果乙方不遵守本合同条款，甲方将取消其承包人资格，不再继续与其合作。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26、乙方必须遵守职业病防治相关的法律法规规定，制定职业危害防治措施管理规定。指定职业卫生管理机构或组织，配备专兼职职业危害防治负责人负责职业危害防治工作。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27、乙方必须针对高坠、触电、粉尘、生产性毒物、噪音、振动、光污染等可能出现的危害因素制定防治措施。并指定专人负责。</w:t>
      </w:r>
      <w:r/>
    </w:p>
    <w:p>
      <w:pPr>
        <w:ind w:left="46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28、乙方必须为员工配备合格的职业卫生防护用品。</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hyperlink r:id="rId27" w:tooltip="http://www.hbsafety.cn/article/63/" w:history="1">
        <w:r>
          <w:rPr>
            <w:rStyle w:val="1020"/>
            <w:rFonts w:ascii="SimSun" w:hAnsi="SimSun" w:eastAsia="SimSun" w:cs="SimSun"/>
            <w:b/>
            <w:color w:val="000000"/>
            <w:sz w:val="24"/>
            <w:u w:val="single"/>
          </w:rPr>
          <w:t xml:space="preserve">施工安全</w:t>
        </w:r>
      </w:hyperlink>
      <w:r>
        <w:rPr>
          <w:rFonts w:ascii="SimSun" w:hAnsi="SimSun" w:eastAsia="SimSun" w:cs="SimSun"/>
          <w:b/>
          <w:color w:val="000000"/>
          <w:sz w:val="24"/>
        </w:rPr>
        <w:t xml:space="preserve">违约金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若施工过程中发生安全</w:t>
      </w:r>
      <w:hyperlink r:id="rId28" w:tooltip="http://www.hbsafety.cn/article/33/" w:history="1">
        <w:r>
          <w:rPr>
            <w:rStyle w:val="1020"/>
            <w:rFonts w:ascii="SimSun" w:hAnsi="SimSun" w:eastAsia="SimSun" w:cs="SimSun"/>
            <w:color w:val="000000"/>
            <w:sz w:val="24"/>
            <w:u w:val="single"/>
          </w:rPr>
          <w:t xml:space="preserve">事故</w:t>
        </w:r>
      </w:hyperlink>
      <w:r>
        <w:rPr>
          <w:rFonts w:ascii="SimSun" w:hAnsi="SimSun" w:eastAsia="SimSun" w:cs="SimSun"/>
          <w:color w:val="000000"/>
          <w:sz w:val="24"/>
        </w:rPr>
        <w:t xml:space="preserve">，乙方除承担相应的经济赔偿责任及其它法律责任外，并因此给甲方增加额外工作的，甲方有权扣除乙方应得工程款3%以内的金额作为安全违约金。</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1、本协议签订后，未经双方共同协商同意，任何一方不得私自改动或终止。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2、本协议与工程合同具有同等效力，有效期自工程开工至全部工程竣工后经交工验收合格，以及质量保修期满由发包人发给保修终止证书后失效。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3、合同履行过程中发生争议时，双方应协商解决，如果协商不成，双方可以向工程所在地人民法院提起诉讼。</w:t>
      </w:r>
      <w:r/>
    </w:p>
    <w:p>
      <w:pPr>
        <w:ind w:left="46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4、本协议自双方签字盖章后生效。</w:t>
      </w:r>
      <w:r/>
    </w:p>
    <w:p>
      <w:pPr>
        <w:ind w:left="46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5、本协议与工程合同份数一致。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 </w:t>
      </w:r>
      <w:r>
        <w:rPr>
          <w:rFonts w:ascii="SimSun" w:hAnsi="SimSun" w:eastAsia="SimSun" w:cs="SimSun"/>
          <w:color w:val="000000"/>
          <w:sz w:val="24"/>
        </w:rPr>
        <w:t xml:space="preserve">（盖章）</w:t>
      </w: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w:t>
      </w:r>
      <w:r>
        <w:rPr>
          <w:rFonts w:ascii="SimSun" w:hAnsi="SimSun" w:eastAsia="SimSun" w:cs="SimSun"/>
          <w:color w:val="000000"/>
          <w:sz w:val="24"/>
        </w:rPr>
        <w:t xml:space="preserve">（盖章） </w:t>
      </w:r>
      <w:r>
        <w:rPr>
          <w:rFonts w:ascii="SimSun" w:hAnsi="SimSun" w:eastAsia="SimSun" w:cs="SimSun"/>
          <w:b/>
          <w:color w:val="000000"/>
          <w:sz w:val="24"/>
        </w:rPr>
        <w:t xml:space="preserve">                                        </w:t>
      </w: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w:t>
      </w:r>
      <w:r/>
    </w:p>
    <w:p>
      <w:pPr>
        <w:pStyle w:val="751"/>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pStyle w:val="751"/>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 评审办法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经磋商确定最终采购需求和提交最后报价的供应商后，由磋商小组采用综合评分法对提交最后报价的供应商的响应文件和最后报价进行综合评分。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2、综合评分法是指响应文件满足磋商文件全部实质性要求且按评审因素的量化指标评审综合得分最高的供应商为成交候选供应商的评审方法。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3、评审时，磋商小组各成员应当独立对每个有效响应的文件进行评价、打分，然后汇总每个供应商每项评分因素的得分。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4、综合评审得分相同的，按照最后报价由低到高的顺序推荐。综合评审得分且最后报价相同的，则由磋商采购单位组织以抽签方式确定成交候选人。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终报价最低且未超采购预算的供应商的价格为磋商基准价，其价格分为满分（10分）。其他供应商的价格分统一按照下列公式计算（计算结果四舍五入保留两位小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磋商报价得分=（磋商基准价/最终磋商报价）×10%×100</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（二）技术方案及施工组织设计（60分）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根据供应商提供的整体施工方案进行评分，在实质性满足采购要求的前提下，按下列标准评分：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1、总体概述：工程概述、总体安排、及施工部署及施工段划分等健全、合理、规范、高效。（9分）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概述详细，组织机构健全，总体安排科学，方案考虑周全，有合理化建议等得9分；综合评定良好，概述较为详细，总体安排可行，方案考虑比较细致，能满足项目实施需要的得5分；综合评定一般，方案简单，基本能满足项目实施需要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2、平面布置：施工现场平面布置及临时设施、临时道路等施工现场的布置科学、合理、规范、高效。（9分）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布置科学合理，描述详细，清晰准确的得9分；综合评定良好，布置比较科学合理，描述比较详细，能满足项目实施需要的得5分；综合评定一般，方案简单，描述不完整，基本能满足项目实施需要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3、施工总进度计划：关于本工程施工进度计划的描述，以及为完成该计划所定措施科学、合理、规范、高效。（9分）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总进度计划详尽，项目实施进度、时间点、关键节点等设置清晰准确的得9分；综合评定良好，总进度计划较为详尽，项目实施进度、时间点、关键点等设置比较准确的得5分；综合评定一般，方案简单，描述不清楚，基本能满足项目实施需要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4、分部、分项工程的施工方案：该工程分部分项工程的施工方案、关键施工技术、工艺及工程项目实施的重点、难点和解决方案、具体施工技术措施科学、合理、操作性强、规范、高效。（9分）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分项施工方案、关键施工技术、工艺及工程项目实施的重点、难点和解决方案、科学合理、操作性强、考虑周全的得9分；综合评定良好，分项施工方案、关键施工技术、工艺及工程项目实施的重点、难点和解决方案、比较合理、操作性较强、考虑较周全的得5分；综合评定一般，方案简单，操作性不强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5、安全文明施工措施：该工程安全文明施工、施工现场扬尘污染防治措施及环境保护方面的措施科学、合理、操作性强、规范、高效。（9分）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措施科学合理，问题沟通和解决机制简单有效，对项目安全、环保等风险进行分析，给出应对措施，操作性强的得9分；综合评定良好，措施比较合理、操作性较强、考虑较周全、能满足项目实施需要的得5分；综合评定一般，措施简单，操作性不强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6、机械设备的投入：用于该工程的机械及各种设备，及施工过程中的主要设备的使用管理等内容比较。（5分）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投入完全符合项目实际，管理制度完备、使用方案详尽的得5分；综合评定良好，投入基本符合项目实际，管理制度比较完备、使用方案比价清楚的得3分；综合评定一般，投入不足，基本能满足项目实施需要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7、特殊情况施工措施：本项目的季节性施工、已有设备、管线的加固、保护等特殊情况下的施工措施内容比较。（5分）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措施科学合理，给出应对措施，操作性强的得5分；综合评定良好，措施比较合理、操作性较强、考虑较周全、能满足项目实施需要的的得3分；综合评定一般，措施简单，操作性不强的得1分,不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8、应急预案：本项目施工过程中的重大、紧急事项应急方案比较。（5分）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方案措施科学合理，详尽有效，操作性强的得5分；综合评定良好，措施比较合理、操作性较强、考虑较周全、能满足项目实施需要的的得3分；综合评定一般，措施简单，操作性不强的得1分,不提供的不得分。</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（三）项目组人员配备情况比较（15分）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1、拟派本项目的项目经理具有中级工程师及以上职称的得5分；初级工程师职称的得2分。以本人职称证书、劳动合同及社保缴纳证明原件扫描件为准。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2、项目组成员（项目经理除外）中具有中级工程师职称及以上的每个得5分；初级工程师职称的每个得2分。限评2人，最高得10分。以相应人员职称证书、劳动合同及社保缴纳证明原件扫描件为准。</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（四）供应商情况（15分）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1、响应单位2023年1月至今承担过类似工程业绩的（以竣工验收证明时间为准）的每一项得3分，限评2项，最高得6分；以相应业绩的竣工验收证明、施工合同、业绩发票原件扫描件为准，否则对应项不得分。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具有有效期内的质量管理体系认证、环境管理体系认证、职业健康安全管理体系认证。每提供1项得3分，最高得9分。响应文件中需提供认证证书扫描件及对应证书在国家认可监督管理委员会官网查询结果的完整网页截图且显示为有效（截图时间须为采购公告发布日期之后），未按要求提供的，对应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1、报价超过预算价或最高限价的将不进入综合评审程序，也不得标。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2、针对评分标准中评分的每一条，响应供应商均应提供相关资料并作出相</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应说明供评委评判，不提供相关资料的视为不具备该项得分的条件。</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3、付款步骤、交付完成限期如有负偏离的不得标。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4、所有扫描件必须字迹清晰可见，字迹不清晰不得分。扫描件：指原件的各种彩色复制件，包括扫描、照片等。</w:t>
      </w:r>
      <w:r/>
    </w:p>
    <w:p>
      <w:pPr>
        <w:ind w:left="0" w:right="920" w:firstLine="0"/>
        <w:jc w:val="right"/>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（全文完）</w:t>
      </w:r>
      <w:r/>
    </w:p>
    <w:p>
      <w:r/>
      <w:r/>
    </w:p>
    <w:sectPr>
      <w:headerReference w:type="default" r:id="rId9"/>
      <w:footerReference w:type="default" r:id="rId10"/>
      <w:footerReference w:type="first" r:id="rId11"/>
      <w:footnotePr/>
      <w:endnotePr/>
      <w:type w:val="nextPage"/>
      <w:pgSz w:w="11906" w:h="16838" w:orient="portrait"/>
      <w:pgMar w:top="1440" w:right="1417" w:bottom="1440" w:left="1417" w:header="794" w:footer="675"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等线">
    <w:panose1 w:val="02010600030101010101"/>
  </w:font>
  <w:font w:name="华文细黑">
    <w:panose1 w:val="02010600040101010101"/>
  </w:font>
  <w:font w:name="方正书宋简体">
    <w:panose1 w:val="020B0503020202020204"/>
  </w:font>
  <w:font w:name="Courier New">
    <w:panose1 w:val="020703090202050204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2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firstLine="3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left"/>
      <w:tabs>
        <w:tab w:val="center" w:pos="4153" w:leader="none"/>
        <w:tab w:val="right" w:pos="8306" w:leader="none"/>
      </w:tabs>
      <w:rPr>
        <w:rFonts w:ascii="宋体" w:hAnsi="宋体" w:eastAsia="宋体"/>
      </w:rPr>
    </w:pPr>
    <w:r>
      <w:rPr>
        <w:rFonts w:hint="eastAsia" w:ascii="宋体" w:hAnsi="宋体" w:eastAsia="宋体"/>
      </w:rPr>
      <w:t xml:space="preserve">竞争性磋商采购文件                                                    JSZC-320591-PMJS-C2024-00XX                                               </w:t>
    </w: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0"/>
        <w:ind w:left="1305" w:hanging="720"/>
      </w:pPr>
    </w:lvl>
    <w:lvl w:ilvl="1">
      <w:start w:val="1"/>
      <w:numFmt w:val="lowerLetter"/>
      <w:isLgl w:val="false"/>
      <w:suff w:val="tab"/>
      <w:lvlText w:val="%2)"/>
      <w:lvlJc w:val="left"/>
      <w:pPr>
        <w:pStyle w:val="920"/>
        <w:ind w:left="1425" w:hanging="420"/>
      </w:pPr>
    </w:lvl>
    <w:lvl w:ilvl="2">
      <w:start w:val="1"/>
      <w:numFmt w:val="lowerRoman"/>
      <w:isLgl w:val="false"/>
      <w:suff w:val="tab"/>
      <w:lvlText w:val="%3."/>
      <w:lvlJc w:val="right"/>
      <w:pPr>
        <w:pStyle w:val="920"/>
        <w:ind w:left="1845" w:hanging="420"/>
      </w:pPr>
    </w:lvl>
    <w:lvl w:ilvl="3">
      <w:start w:val="1"/>
      <w:numFmt w:val="decimal"/>
      <w:isLgl w:val="false"/>
      <w:suff w:val="tab"/>
      <w:lvlText w:val="%4."/>
      <w:lvlJc w:val="left"/>
      <w:pPr>
        <w:pStyle w:val="920"/>
        <w:ind w:left="2265" w:hanging="420"/>
      </w:pPr>
    </w:lvl>
    <w:lvl w:ilvl="4">
      <w:start w:val="1"/>
      <w:numFmt w:val="lowerLetter"/>
      <w:isLgl w:val="false"/>
      <w:suff w:val="tab"/>
      <w:lvlText w:val="%5)"/>
      <w:lvlJc w:val="left"/>
      <w:pPr>
        <w:pStyle w:val="920"/>
        <w:ind w:left="2685" w:hanging="420"/>
      </w:pPr>
    </w:lvl>
    <w:lvl w:ilvl="5">
      <w:start w:val="1"/>
      <w:numFmt w:val="lowerRoman"/>
      <w:isLgl w:val="false"/>
      <w:suff w:val="tab"/>
      <w:lvlText w:val="%6."/>
      <w:lvlJc w:val="right"/>
      <w:pPr>
        <w:pStyle w:val="920"/>
        <w:ind w:left="3105" w:hanging="420"/>
      </w:pPr>
    </w:lvl>
    <w:lvl w:ilvl="6">
      <w:start w:val="1"/>
      <w:numFmt w:val="decimal"/>
      <w:isLgl w:val="false"/>
      <w:suff w:val="tab"/>
      <w:lvlText w:val="%7."/>
      <w:lvlJc w:val="left"/>
      <w:pPr>
        <w:pStyle w:val="920"/>
        <w:ind w:left="3525" w:hanging="420"/>
      </w:pPr>
    </w:lvl>
    <w:lvl w:ilvl="7">
      <w:start w:val="1"/>
      <w:numFmt w:val="lowerLetter"/>
      <w:isLgl w:val="false"/>
      <w:suff w:val="tab"/>
      <w:lvlText w:val="%8)"/>
      <w:lvlJc w:val="left"/>
      <w:pPr>
        <w:pStyle w:val="920"/>
        <w:ind w:left="3945" w:hanging="420"/>
      </w:pPr>
    </w:lvl>
    <w:lvl w:ilvl="8">
      <w:start w:val="1"/>
      <w:numFmt w:val="lowerRoman"/>
      <w:isLgl w:val="false"/>
      <w:suff w:val="tab"/>
      <w:lvlText w:val="%9."/>
      <w:lvlJc w:val="right"/>
      <w:pPr>
        <w:pStyle w:val="920"/>
        <w:ind w:left="4365" w:hanging="420"/>
      </w:pPr>
    </w:lvl>
  </w:abstractNum>
  <w:abstractNum w:abstractNumId="2">
    <w:multiLevelType w:val="hybridMultilevel"/>
    <w:lvl w:ilvl="0">
      <w:start w:val="1"/>
      <w:numFmt w:val="chineseCountingThousand"/>
      <w:isLgl w:val="false"/>
      <w:suff w:val="tab"/>
      <w:lvlText w:val="(%1)"/>
      <w:lvlJc w:val="left"/>
      <w:pPr>
        <w:pStyle w:val="920"/>
        <w:ind w:left="420" w:hanging="420"/>
        <w:tabs>
          <w:tab w:val="num" w:pos="420" w:leader="none"/>
        </w:tabs>
      </w:pPr>
    </w:lvl>
    <w:lvl w:ilvl="1">
      <w:start w:val="1"/>
      <w:numFmt w:val="lowerLetter"/>
      <w:isLgl w:val="false"/>
      <w:suff w:val="tab"/>
      <w:lvlText w:val="%2)"/>
      <w:lvlJc w:val="left"/>
      <w:pPr>
        <w:pStyle w:val="920"/>
        <w:ind w:left="840" w:hanging="420"/>
        <w:tabs>
          <w:tab w:val="num" w:pos="840" w:leader="none"/>
        </w:tabs>
      </w:pPr>
    </w:lvl>
    <w:lvl w:ilvl="2">
      <w:start w:val="1"/>
      <w:numFmt w:val="lowerRoman"/>
      <w:isLgl w:val="false"/>
      <w:suff w:val="tab"/>
      <w:lvlText w:val="%3."/>
      <w:lvlJc w:val="right"/>
      <w:pPr>
        <w:pStyle w:val="920"/>
        <w:ind w:left="1260" w:hanging="420"/>
        <w:tabs>
          <w:tab w:val="num" w:pos="1260" w:leader="none"/>
        </w:tabs>
      </w:pPr>
    </w:lvl>
    <w:lvl w:ilvl="3">
      <w:start w:val="1"/>
      <w:numFmt w:val="decimal"/>
      <w:isLgl w:val="false"/>
      <w:suff w:val="tab"/>
      <w:lvlText w:val="%4."/>
      <w:lvlJc w:val="left"/>
      <w:pPr>
        <w:pStyle w:val="920"/>
        <w:ind w:left="1680" w:hanging="420"/>
        <w:tabs>
          <w:tab w:val="num" w:pos="1680" w:leader="none"/>
        </w:tabs>
      </w:pPr>
    </w:lvl>
    <w:lvl w:ilvl="4">
      <w:start w:val="1"/>
      <w:numFmt w:val="lowerLetter"/>
      <w:isLgl w:val="false"/>
      <w:suff w:val="tab"/>
      <w:lvlText w:val="%5)"/>
      <w:lvlJc w:val="left"/>
      <w:pPr>
        <w:pStyle w:val="920"/>
        <w:ind w:left="2100" w:hanging="420"/>
        <w:tabs>
          <w:tab w:val="num" w:pos="2100" w:leader="none"/>
        </w:tabs>
      </w:pPr>
    </w:lvl>
    <w:lvl w:ilvl="5">
      <w:start w:val="1"/>
      <w:numFmt w:val="lowerRoman"/>
      <w:isLgl w:val="false"/>
      <w:suff w:val="tab"/>
      <w:lvlText w:val="%6."/>
      <w:lvlJc w:val="right"/>
      <w:pPr>
        <w:pStyle w:val="920"/>
        <w:ind w:left="2520" w:hanging="420"/>
        <w:tabs>
          <w:tab w:val="num" w:pos="2520" w:leader="none"/>
        </w:tabs>
      </w:pPr>
    </w:lvl>
    <w:lvl w:ilvl="6">
      <w:start w:val="1"/>
      <w:numFmt w:val="decimal"/>
      <w:isLgl w:val="false"/>
      <w:suff w:val="tab"/>
      <w:lvlText w:val="%7."/>
      <w:lvlJc w:val="left"/>
      <w:pPr>
        <w:pStyle w:val="920"/>
        <w:ind w:left="2940" w:hanging="420"/>
        <w:tabs>
          <w:tab w:val="num" w:pos="2940" w:leader="none"/>
        </w:tabs>
      </w:pPr>
    </w:lvl>
    <w:lvl w:ilvl="7">
      <w:start w:val="1"/>
      <w:numFmt w:val="lowerLetter"/>
      <w:isLgl w:val="false"/>
      <w:suff w:val="tab"/>
      <w:lvlText w:val="%8)"/>
      <w:lvlJc w:val="left"/>
      <w:pPr>
        <w:pStyle w:val="920"/>
        <w:ind w:left="3360" w:hanging="420"/>
        <w:tabs>
          <w:tab w:val="num" w:pos="3360" w:leader="none"/>
        </w:tabs>
      </w:pPr>
    </w:lvl>
    <w:lvl w:ilvl="8">
      <w:start w:val="1"/>
      <w:numFmt w:val="lowerRoman"/>
      <w:isLgl w:val="false"/>
      <w:suff w:val="tab"/>
      <w:lvlText w:val="%9."/>
      <w:lvlJc w:val="right"/>
      <w:pPr>
        <w:pStyle w:val="920"/>
        <w:ind w:left="3780" w:hanging="420"/>
        <w:tabs>
          <w:tab w:val="num" w:pos="3780" w:leader="none"/>
        </w:tabs>
      </w:pPr>
    </w:lvl>
  </w:abstractNum>
  <w:abstractNum w:abstractNumId="3">
    <w:multiLevelType w:val="hybridMultilevel"/>
    <w:lvl w:ilvl="0">
      <w:start w:val="1"/>
      <w:numFmt w:val="chineseCountingThousand"/>
      <w:isLgl w:val="false"/>
      <w:suff w:val="tab"/>
      <w:lvlText w:val="(%1)"/>
      <w:lvlJc w:val="left"/>
      <w:pPr>
        <w:pStyle w:val="920"/>
        <w:ind w:left="420" w:hanging="420"/>
        <w:tabs>
          <w:tab w:val="num" w:pos="420" w:leader="none"/>
        </w:tabs>
      </w:pPr>
    </w:lvl>
    <w:lvl w:ilvl="1">
      <w:start w:val="1"/>
      <w:numFmt w:val="lowerLetter"/>
      <w:isLgl w:val="false"/>
      <w:suff w:val="tab"/>
      <w:lvlText w:val="%2)"/>
      <w:lvlJc w:val="left"/>
      <w:pPr>
        <w:pStyle w:val="920"/>
        <w:ind w:left="840" w:hanging="420"/>
        <w:tabs>
          <w:tab w:val="num" w:pos="840" w:leader="none"/>
        </w:tabs>
      </w:pPr>
    </w:lvl>
    <w:lvl w:ilvl="2">
      <w:start w:val="1"/>
      <w:numFmt w:val="lowerRoman"/>
      <w:isLgl w:val="false"/>
      <w:suff w:val="tab"/>
      <w:lvlText w:val="%3."/>
      <w:lvlJc w:val="right"/>
      <w:pPr>
        <w:pStyle w:val="920"/>
        <w:ind w:left="1260" w:hanging="420"/>
        <w:tabs>
          <w:tab w:val="num" w:pos="1260" w:leader="none"/>
        </w:tabs>
      </w:pPr>
    </w:lvl>
    <w:lvl w:ilvl="3">
      <w:start w:val="1"/>
      <w:numFmt w:val="decimal"/>
      <w:isLgl w:val="false"/>
      <w:suff w:val="tab"/>
      <w:lvlText w:val="%4."/>
      <w:lvlJc w:val="left"/>
      <w:pPr>
        <w:pStyle w:val="920"/>
        <w:ind w:left="1680" w:hanging="420"/>
        <w:tabs>
          <w:tab w:val="num" w:pos="1680" w:leader="none"/>
        </w:tabs>
      </w:pPr>
    </w:lvl>
    <w:lvl w:ilvl="4">
      <w:start w:val="1"/>
      <w:numFmt w:val="lowerLetter"/>
      <w:isLgl w:val="false"/>
      <w:suff w:val="tab"/>
      <w:lvlText w:val="%5)"/>
      <w:lvlJc w:val="left"/>
      <w:pPr>
        <w:pStyle w:val="920"/>
        <w:ind w:left="2100" w:hanging="420"/>
        <w:tabs>
          <w:tab w:val="num" w:pos="2100" w:leader="none"/>
        </w:tabs>
      </w:pPr>
    </w:lvl>
    <w:lvl w:ilvl="5">
      <w:start w:val="1"/>
      <w:numFmt w:val="lowerRoman"/>
      <w:isLgl w:val="false"/>
      <w:suff w:val="tab"/>
      <w:lvlText w:val="%6."/>
      <w:lvlJc w:val="right"/>
      <w:pPr>
        <w:pStyle w:val="920"/>
        <w:ind w:left="2520" w:hanging="420"/>
        <w:tabs>
          <w:tab w:val="num" w:pos="2520" w:leader="none"/>
        </w:tabs>
      </w:pPr>
    </w:lvl>
    <w:lvl w:ilvl="6">
      <w:start w:val="1"/>
      <w:numFmt w:val="decimal"/>
      <w:isLgl w:val="false"/>
      <w:suff w:val="tab"/>
      <w:lvlText w:val="%7."/>
      <w:lvlJc w:val="left"/>
      <w:pPr>
        <w:pStyle w:val="920"/>
        <w:ind w:left="2940" w:hanging="420"/>
        <w:tabs>
          <w:tab w:val="num" w:pos="2940" w:leader="none"/>
        </w:tabs>
      </w:pPr>
    </w:lvl>
    <w:lvl w:ilvl="7">
      <w:start w:val="1"/>
      <w:numFmt w:val="lowerLetter"/>
      <w:isLgl w:val="false"/>
      <w:suff w:val="tab"/>
      <w:lvlText w:val="%8)"/>
      <w:lvlJc w:val="left"/>
      <w:pPr>
        <w:pStyle w:val="920"/>
        <w:ind w:left="3360" w:hanging="420"/>
        <w:tabs>
          <w:tab w:val="num" w:pos="3360" w:leader="none"/>
        </w:tabs>
      </w:pPr>
    </w:lvl>
    <w:lvl w:ilvl="8">
      <w:start w:val="1"/>
      <w:numFmt w:val="lowerRoman"/>
      <w:isLgl w:val="false"/>
      <w:suff w:val="tab"/>
      <w:lvlText w:val="%9."/>
      <w:lvlJc w:val="right"/>
      <w:pPr>
        <w:pStyle w:val="920"/>
        <w:ind w:left="3780" w:hanging="420"/>
        <w:tabs>
          <w:tab w:val="num" w:pos="3780" w:leader="none"/>
        </w:tabs>
      </w:pPr>
    </w:lvl>
  </w:abstractNum>
  <w:abstractNum w:abstractNumId="4">
    <w:multiLevelType w:val="hybridMultilevel"/>
    <w:lvl w:ilvl="0">
      <w:start w:val="1"/>
      <w:numFmt w:val="bullet"/>
      <w:pStyle w:val="950"/>
      <w:isLgl w:val="false"/>
      <w:suff w:val="tab"/>
      <w:lvlText w:val=""/>
      <w:lvlJc w:val="left"/>
      <w:pPr>
        <w:pStyle w:val="920"/>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20"/>
        <w:ind w:left="1425" w:hanging="720"/>
      </w:pPr>
    </w:lvl>
    <w:lvl w:ilvl="1">
      <w:start w:val="1"/>
      <w:numFmt w:val="lowerLetter"/>
      <w:isLgl w:val="false"/>
      <w:suff w:val="tab"/>
      <w:lvlText w:val="%2)"/>
      <w:lvlJc w:val="left"/>
      <w:pPr>
        <w:pStyle w:val="920"/>
        <w:ind w:left="1545" w:hanging="420"/>
      </w:pPr>
    </w:lvl>
    <w:lvl w:ilvl="2">
      <w:start w:val="1"/>
      <w:numFmt w:val="lowerRoman"/>
      <w:isLgl w:val="false"/>
      <w:suff w:val="tab"/>
      <w:lvlText w:val="%3."/>
      <w:lvlJc w:val="right"/>
      <w:pPr>
        <w:pStyle w:val="920"/>
        <w:ind w:left="1965" w:hanging="420"/>
      </w:pPr>
    </w:lvl>
    <w:lvl w:ilvl="3">
      <w:start w:val="1"/>
      <w:numFmt w:val="decimal"/>
      <w:isLgl w:val="false"/>
      <w:suff w:val="tab"/>
      <w:lvlText w:val="%4."/>
      <w:lvlJc w:val="left"/>
      <w:pPr>
        <w:pStyle w:val="920"/>
        <w:ind w:left="2385" w:hanging="420"/>
      </w:pPr>
    </w:lvl>
    <w:lvl w:ilvl="4">
      <w:start w:val="1"/>
      <w:numFmt w:val="lowerLetter"/>
      <w:isLgl w:val="false"/>
      <w:suff w:val="tab"/>
      <w:lvlText w:val="%5)"/>
      <w:lvlJc w:val="left"/>
      <w:pPr>
        <w:pStyle w:val="920"/>
        <w:ind w:left="2805" w:hanging="420"/>
      </w:pPr>
    </w:lvl>
    <w:lvl w:ilvl="5">
      <w:start w:val="1"/>
      <w:numFmt w:val="lowerRoman"/>
      <w:isLgl w:val="false"/>
      <w:suff w:val="tab"/>
      <w:lvlText w:val="%6."/>
      <w:lvlJc w:val="right"/>
      <w:pPr>
        <w:pStyle w:val="920"/>
        <w:ind w:left="3225" w:hanging="420"/>
      </w:pPr>
    </w:lvl>
    <w:lvl w:ilvl="6">
      <w:start w:val="1"/>
      <w:numFmt w:val="decimal"/>
      <w:isLgl w:val="false"/>
      <w:suff w:val="tab"/>
      <w:lvlText w:val="%7."/>
      <w:lvlJc w:val="left"/>
      <w:pPr>
        <w:pStyle w:val="920"/>
        <w:ind w:left="3645" w:hanging="420"/>
      </w:pPr>
    </w:lvl>
    <w:lvl w:ilvl="7">
      <w:start w:val="1"/>
      <w:numFmt w:val="lowerLetter"/>
      <w:isLgl w:val="false"/>
      <w:suff w:val="tab"/>
      <w:lvlText w:val="%8)"/>
      <w:lvlJc w:val="left"/>
      <w:pPr>
        <w:pStyle w:val="920"/>
        <w:ind w:left="4065" w:hanging="420"/>
      </w:pPr>
    </w:lvl>
    <w:lvl w:ilvl="8">
      <w:start w:val="1"/>
      <w:numFmt w:val="lowerRoman"/>
      <w:isLgl w:val="false"/>
      <w:suff w:val="tab"/>
      <w:lvlText w:val="%9."/>
      <w:lvlJc w:val="right"/>
      <w:pPr>
        <w:pStyle w:val="920"/>
        <w:ind w:left="4485" w:hanging="420"/>
      </w:pPr>
    </w:lvl>
  </w:abstractNum>
  <w:abstractNum w:abstractNumId="6">
    <w:multiLevelType w:val="hybridMultilevel"/>
    <w:lvl w:ilvl="0">
      <w:start w:val="2"/>
      <w:numFmt w:val="decimal"/>
      <w:isLgl w:val="false"/>
      <w:suff w:val="tab"/>
      <w:lvlText w:val="(%1)"/>
      <w:lvlJc w:val="left"/>
      <w:pPr>
        <w:pStyle w:val="9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pStyle w:val="920"/>
        <w:ind w:left="420" w:hanging="420"/>
        <w:tabs>
          <w:tab w:val="num" w:pos="420" w:leader="none"/>
        </w:tabs>
      </w:pPr>
    </w:lvl>
    <w:lvl w:ilvl="1">
      <w:start w:val="1"/>
      <w:numFmt w:val="lowerLetter"/>
      <w:isLgl w:val="false"/>
      <w:suff w:val="tab"/>
      <w:lvlText w:val="%2)"/>
      <w:lvlJc w:val="left"/>
      <w:pPr>
        <w:pStyle w:val="920"/>
        <w:ind w:left="840" w:hanging="420"/>
        <w:tabs>
          <w:tab w:val="num" w:pos="840" w:leader="none"/>
        </w:tabs>
      </w:pPr>
    </w:lvl>
    <w:lvl w:ilvl="2">
      <w:start w:val="1"/>
      <w:numFmt w:val="lowerRoman"/>
      <w:isLgl w:val="false"/>
      <w:suff w:val="tab"/>
      <w:lvlText w:val="%3."/>
      <w:lvlJc w:val="right"/>
      <w:pPr>
        <w:pStyle w:val="920"/>
        <w:ind w:left="1260" w:hanging="420"/>
        <w:tabs>
          <w:tab w:val="num" w:pos="1260" w:leader="none"/>
        </w:tabs>
      </w:pPr>
    </w:lvl>
    <w:lvl w:ilvl="3">
      <w:start w:val="1"/>
      <w:numFmt w:val="decimal"/>
      <w:isLgl w:val="false"/>
      <w:suff w:val="tab"/>
      <w:lvlText w:val="%4."/>
      <w:lvlJc w:val="left"/>
      <w:pPr>
        <w:pStyle w:val="920"/>
        <w:ind w:left="1680" w:hanging="420"/>
        <w:tabs>
          <w:tab w:val="num" w:pos="1680" w:leader="none"/>
        </w:tabs>
      </w:pPr>
    </w:lvl>
    <w:lvl w:ilvl="4">
      <w:start w:val="1"/>
      <w:numFmt w:val="lowerLetter"/>
      <w:isLgl w:val="false"/>
      <w:suff w:val="tab"/>
      <w:lvlText w:val="%5)"/>
      <w:lvlJc w:val="left"/>
      <w:pPr>
        <w:pStyle w:val="920"/>
        <w:ind w:left="2100" w:hanging="420"/>
        <w:tabs>
          <w:tab w:val="num" w:pos="2100" w:leader="none"/>
        </w:tabs>
      </w:pPr>
    </w:lvl>
    <w:lvl w:ilvl="5">
      <w:start w:val="1"/>
      <w:numFmt w:val="lowerRoman"/>
      <w:isLgl w:val="false"/>
      <w:suff w:val="tab"/>
      <w:lvlText w:val="%6."/>
      <w:lvlJc w:val="right"/>
      <w:pPr>
        <w:pStyle w:val="920"/>
        <w:ind w:left="2520" w:hanging="420"/>
        <w:tabs>
          <w:tab w:val="num" w:pos="2520" w:leader="none"/>
        </w:tabs>
      </w:pPr>
    </w:lvl>
    <w:lvl w:ilvl="6">
      <w:start w:val="1"/>
      <w:numFmt w:val="decimal"/>
      <w:isLgl w:val="false"/>
      <w:suff w:val="tab"/>
      <w:lvlText w:val="%7."/>
      <w:lvlJc w:val="left"/>
      <w:pPr>
        <w:pStyle w:val="920"/>
        <w:ind w:left="2940" w:hanging="420"/>
        <w:tabs>
          <w:tab w:val="num" w:pos="2940" w:leader="none"/>
        </w:tabs>
      </w:pPr>
    </w:lvl>
    <w:lvl w:ilvl="7">
      <w:start w:val="1"/>
      <w:numFmt w:val="lowerLetter"/>
      <w:isLgl w:val="false"/>
      <w:suff w:val="tab"/>
      <w:lvlText w:val="%8)"/>
      <w:lvlJc w:val="left"/>
      <w:pPr>
        <w:pStyle w:val="920"/>
        <w:ind w:left="3360" w:hanging="420"/>
        <w:tabs>
          <w:tab w:val="num" w:pos="3360" w:leader="none"/>
        </w:tabs>
      </w:pPr>
    </w:lvl>
    <w:lvl w:ilvl="8">
      <w:start w:val="1"/>
      <w:numFmt w:val="lowerRoman"/>
      <w:isLgl w:val="false"/>
      <w:suff w:val="tab"/>
      <w:lvlText w:val="%9."/>
      <w:lvlJc w:val="right"/>
      <w:pPr>
        <w:pStyle w:val="920"/>
        <w:ind w:left="3780" w:hanging="420"/>
        <w:tabs>
          <w:tab w:val="num" w:pos="3780" w:leader="none"/>
        </w:tabs>
      </w:pPr>
    </w:lvl>
  </w:abstractNum>
  <w:abstractNum w:abstractNumId="8">
    <w:multiLevelType w:val="hybridMultilevel"/>
    <w:lvl w:ilvl="0">
      <w:start w:val="4"/>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1)"/>
      <w:lvlJc w:val="left"/>
      <w:pPr>
        <w:pStyle w:val="920"/>
        <w:ind w:left="420" w:hanging="420"/>
        <w:tabs>
          <w:tab w:val="num" w:pos="420" w:leader="none"/>
        </w:tabs>
      </w:pPr>
    </w:lvl>
    <w:lvl w:ilvl="1">
      <w:start w:val="1"/>
      <w:numFmt w:val="lowerLetter"/>
      <w:isLgl w:val="false"/>
      <w:suff w:val="tab"/>
      <w:lvlText w:val="%2)"/>
      <w:lvlJc w:val="left"/>
      <w:pPr>
        <w:pStyle w:val="920"/>
        <w:ind w:left="840" w:hanging="420"/>
        <w:tabs>
          <w:tab w:val="num" w:pos="840" w:leader="none"/>
        </w:tabs>
      </w:pPr>
    </w:lvl>
    <w:lvl w:ilvl="2">
      <w:start w:val="1"/>
      <w:numFmt w:val="lowerRoman"/>
      <w:isLgl w:val="false"/>
      <w:suff w:val="tab"/>
      <w:lvlText w:val="%3."/>
      <w:lvlJc w:val="right"/>
      <w:pPr>
        <w:pStyle w:val="920"/>
        <w:ind w:left="1260" w:hanging="420"/>
        <w:tabs>
          <w:tab w:val="num" w:pos="1260" w:leader="none"/>
        </w:tabs>
      </w:pPr>
    </w:lvl>
    <w:lvl w:ilvl="3">
      <w:start w:val="1"/>
      <w:numFmt w:val="decimal"/>
      <w:isLgl w:val="false"/>
      <w:suff w:val="tab"/>
      <w:lvlText w:val="%4."/>
      <w:lvlJc w:val="left"/>
      <w:pPr>
        <w:pStyle w:val="920"/>
        <w:ind w:left="1680" w:hanging="420"/>
        <w:tabs>
          <w:tab w:val="num" w:pos="1680" w:leader="none"/>
        </w:tabs>
      </w:pPr>
    </w:lvl>
    <w:lvl w:ilvl="4">
      <w:start w:val="1"/>
      <w:numFmt w:val="lowerLetter"/>
      <w:isLgl w:val="false"/>
      <w:suff w:val="tab"/>
      <w:lvlText w:val="%5)"/>
      <w:lvlJc w:val="left"/>
      <w:pPr>
        <w:pStyle w:val="920"/>
        <w:ind w:left="2100" w:hanging="420"/>
        <w:tabs>
          <w:tab w:val="num" w:pos="2100" w:leader="none"/>
        </w:tabs>
      </w:pPr>
    </w:lvl>
    <w:lvl w:ilvl="5">
      <w:start w:val="1"/>
      <w:numFmt w:val="lowerRoman"/>
      <w:isLgl w:val="false"/>
      <w:suff w:val="tab"/>
      <w:lvlText w:val="%6."/>
      <w:lvlJc w:val="right"/>
      <w:pPr>
        <w:pStyle w:val="920"/>
        <w:ind w:left="2520" w:hanging="420"/>
        <w:tabs>
          <w:tab w:val="num" w:pos="2520" w:leader="none"/>
        </w:tabs>
      </w:pPr>
    </w:lvl>
    <w:lvl w:ilvl="6">
      <w:start w:val="1"/>
      <w:numFmt w:val="decimal"/>
      <w:isLgl w:val="false"/>
      <w:suff w:val="tab"/>
      <w:lvlText w:val="%7."/>
      <w:lvlJc w:val="left"/>
      <w:pPr>
        <w:pStyle w:val="920"/>
        <w:ind w:left="2940" w:hanging="420"/>
        <w:tabs>
          <w:tab w:val="num" w:pos="2940" w:leader="none"/>
        </w:tabs>
      </w:pPr>
    </w:lvl>
    <w:lvl w:ilvl="7">
      <w:start w:val="1"/>
      <w:numFmt w:val="lowerLetter"/>
      <w:isLgl w:val="false"/>
      <w:suff w:val="tab"/>
      <w:lvlText w:val="%8)"/>
      <w:lvlJc w:val="left"/>
      <w:pPr>
        <w:pStyle w:val="920"/>
        <w:ind w:left="3360" w:hanging="420"/>
        <w:tabs>
          <w:tab w:val="num" w:pos="3360" w:leader="none"/>
        </w:tabs>
      </w:pPr>
    </w:lvl>
    <w:lvl w:ilvl="8">
      <w:start w:val="1"/>
      <w:numFmt w:val="lowerRoman"/>
      <w:isLgl w:val="false"/>
      <w:suff w:val="tab"/>
      <w:lvlText w:val="%9."/>
      <w:lvlJc w:val="right"/>
      <w:pPr>
        <w:pStyle w:val="920"/>
        <w:ind w:left="3780" w:hanging="420"/>
        <w:tabs>
          <w:tab w:val="num" w:pos="3780" w:leader="none"/>
        </w:tabs>
      </w:pPr>
    </w:lvl>
  </w:abstractNum>
  <w:abstractNum w:abstractNumId="10">
    <w:multiLevelType w:val="hybridMultilevel"/>
    <w:lvl w:ilvl="0">
      <w:start w:val="2"/>
      <w:numFmt w:val="japaneseCounting"/>
      <w:isLgl w:val="false"/>
      <w:suff w:val="tab"/>
      <w:lvlText w:val="%1、"/>
      <w:lvlJc w:val="left"/>
      <w:pPr>
        <w:pStyle w:val="920"/>
        <w:ind w:left="1202" w:hanging="720"/>
      </w:pPr>
    </w:lvl>
    <w:lvl w:ilvl="1">
      <w:start w:val="1"/>
      <w:numFmt w:val="lowerLetter"/>
      <w:isLgl w:val="false"/>
      <w:suff w:val="tab"/>
      <w:lvlText w:val="%2)"/>
      <w:lvlJc w:val="left"/>
      <w:pPr>
        <w:pStyle w:val="920"/>
        <w:ind w:left="1322" w:hanging="420"/>
      </w:pPr>
    </w:lvl>
    <w:lvl w:ilvl="2">
      <w:start w:val="1"/>
      <w:numFmt w:val="lowerRoman"/>
      <w:isLgl w:val="false"/>
      <w:suff w:val="tab"/>
      <w:lvlText w:val="%3."/>
      <w:lvlJc w:val="right"/>
      <w:pPr>
        <w:pStyle w:val="920"/>
        <w:ind w:left="1742" w:hanging="420"/>
      </w:pPr>
    </w:lvl>
    <w:lvl w:ilvl="3">
      <w:start w:val="1"/>
      <w:numFmt w:val="decimal"/>
      <w:isLgl w:val="false"/>
      <w:suff w:val="tab"/>
      <w:lvlText w:val="%4."/>
      <w:lvlJc w:val="left"/>
      <w:pPr>
        <w:pStyle w:val="920"/>
        <w:ind w:left="2162" w:hanging="420"/>
      </w:pPr>
    </w:lvl>
    <w:lvl w:ilvl="4">
      <w:start w:val="1"/>
      <w:numFmt w:val="lowerLetter"/>
      <w:isLgl w:val="false"/>
      <w:suff w:val="tab"/>
      <w:lvlText w:val="%5)"/>
      <w:lvlJc w:val="left"/>
      <w:pPr>
        <w:pStyle w:val="920"/>
        <w:ind w:left="2582" w:hanging="420"/>
      </w:pPr>
    </w:lvl>
    <w:lvl w:ilvl="5">
      <w:start w:val="1"/>
      <w:numFmt w:val="lowerRoman"/>
      <w:isLgl w:val="false"/>
      <w:suff w:val="tab"/>
      <w:lvlText w:val="%6."/>
      <w:lvlJc w:val="right"/>
      <w:pPr>
        <w:pStyle w:val="920"/>
        <w:ind w:left="3002" w:hanging="420"/>
      </w:pPr>
    </w:lvl>
    <w:lvl w:ilvl="6">
      <w:start w:val="1"/>
      <w:numFmt w:val="decimal"/>
      <w:isLgl w:val="false"/>
      <w:suff w:val="tab"/>
      <w:lvlText w:val="%7."/>
      <w:lvlJc w:val="left"/>
      <w:pPr>
        <w:pStyle w:val="920"/>
        <w:ind w:left="3422" w:hanging="420"/>
      </w:pPr>
    </w:lvl>
    <w:lvl w:ilvl="7">
      <w:start w:val="1"/>
      <w:numFmt w:val="lowerLetter"/>
      <w:isLgl w:val="false"/>
      <w:suff w:val="tab"/>
      <w:lvlText w:val="%8)"/>
      <w:lvlJc w:val="left"/>
      <w:pPr>
        <w:pStyle w:val="920"/>
        <w:ind w:left="3842" w:hanging="420"/>
      </w:pPr>
    </w:lvl>
    <w:lvl w:ilvl="8">
      <w:start w:val="1"/>
      <w:numFmt w:val="lowerRoman"/>
      <w:isLgl w:val="false"/>
      <w:suff w:val="tab"/>
      <w:lvlText w:val="%9."/>
      <w:lvlJc w:val="right"/>
      <w:pPr>
        <w:pStyle w:val="920"/>
        <w:ind w:left="4262" w:hanging="420"/>
      </w:pPr>
    </w:lvl>
  </w:abstractNum>
  <w:abstractNum w:abstractNumId="11">
    <w:multiLevelType w:val="hybridMultilevel"/>
    <w:lvl w:ilvl="0">
      <w:start w:val="1"/>
      <w:numFmt w:val="decimal"/>
      <w:isLgl w:val="false"/>
      <w:suff w:val="nothing"/>
      <w:lvlText w:val="%1、"/>
      <w:lvlJc w:val="left"/>
      <w:pPr>
        <w:pStyle w:val="92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
      <w:isLgl w:val="false"/>
      <w:suff w:val="tab"/>
      <w:lvlText w:val="%1"/>
      <w:lvlJc w:val="left"/>
      <w:pPr>
        <w:pStyle w:val="920"/>
        <w:ind w:left="1240" w:hanging="360"/>
        <w:tabs>
          <w:tab w:val="num" w:pos="1240" w:leader="none"/>
        </w:tabs>
      </w:pPr>
    </w:lvl>
    <w:lvl w:ilvl="1">
      <w:start w:val="1"/>
      <w:numFmt w:val="lowerLetter"/>
      <w:isLgl w:val="false"/>
      <w:suff w:val="tab"/>
      <w:lvlText w:val="%2)"/>
      <w:lvlJc w:val="left"/>
      <w:pPr>
        <w:pStyle w:val="920"/>
        <w:ind w:left="1720" w:hanging="420"/>
        <w:tabs>
          <w:tab w:val="num" w:pos="1720" w:leader="none"/>
        </w:tabs>
      </w:pPr>
    </w:lvl>
    <w:lvl w:ilvl="2">
      <w:start w:val="1"/>
      <w:numFmt w:val="lowerRoman"/>
      <w:isLgl w:val="false"/>
      <w:suff w:val="tab"/>
      <w:lvlText w:val="%3."/>
      <w:lvlJc w:val="right"/>
      <w:pPr>
        <w:pStyle w:val="920"/>
        <w:ind w:left="2140" w:hanging="420"/>
        <w:tabs>
          <w:tab w:val="num" w:pos="2140" w:leader="none"/>
        </w:tabs>
      </w:pPr>
    </w:lvl>
    <w:lvl w:ilvl="3">
      <w:start w:val="1"/>
      <w:numFmt w:val="decimal"/>
      <w:pStyle w:val="1007"/>
      <w:isLgl w:val="false"/>
      <w:suff w:val="tab"/>
      <w:lvlText w:val="%4."/>
      <w:lvlJc w:val="left"/>
      <w:pPr>
        <w:pStyle w:val="920"/>
        <w:ind w:left="2560" w:hanging="420"/>
        <w:tabs>
          <w:tab w:val="num" w:pos="2560" w:leader="none"/>
        </w:tabs>
      </w:pPr>
    </w:lvl>
    <w:lvl w:ilvl="4">
      <w:start w:val="1"/>
      <w:numFmt w:val="lowerLetter"/>
      <w:isLgl w:val="false"/>
      <w:suff w:val="tab"/>
      <w:lvlText w:val="%5)"/>
      <w:lvlJc w:val="left"/>
      <w:pPr>
        <w:pStyle w:val="920"/>
        <w:ind w:left="2980" w:hanging="420"/>
        <w:tabs>
          <w:tab w:val="num" w:pos="2980" w:leader="none"/>
        </w:tabs>
      </w:pPr>
    </w:lvl>
    <w:lvl w:ilvl="5">
      <w:start w:val="1"/>
      <w:numFmt w:val="lowerRoman"/>
      <w:isLgl w:val="false"/>
      <w:suff w:val="tab"/>
      <w:lvlText w:val="%6."/>
      <w:lvlJc w:val="right"/>
      <w:pPr>
        <w:pStyle w:val="920"/>
        <w:ind w:left="3400" w:hanging="420"/>
        <w:tabs>
          <w:tab w:val="num" w:pos="3400" w:leader="none"/>
        </w:tabs>
      </w:pPr>
    </w:lvl>
    <w:lvl w:ilvl="6">
      <w:start w:val="1"/>
      <w:numFmt w:val="decimal"/>
      <w:isLgl w:val="false"/>
      <w:suff w:val="tab"/>
      <w:lvlText w:val="%7."/>
      <w:lvlJc w:val="left"/>
      <w:pPr>
        <w:pStyle w:val="920"/>
        <w:ind w:left="3820" w:hanging="420"/>
        <w:tabs>
          <w:tab w:val="num" w:pos="3820" w:leader="none"/>
        </w:tabs>
      </w:pPr>
    </w:lvl>
    <w:lvl w:ilvl="7">
      <w:start w:val="1"/>
      <w:numFmt w:val="lowerLetter"/>
      <w:isLgl w:val="false"/>
      <w:suff w:val="tab"/>
      <w:lvlText w:val="%8)"/>
      <w:lvlJc w:val="left"/>
      <w:pPr>
        <w:pStyle w:val="920"/>
        <w:ind w:left="4240" w:hanging="420"/>
        <w:tabs>
          <w:tab w:val="num" w:pos="4240" w:leader="none"/>
        </w:tabs>
      </w:pPr>
    </w:lvl>
    <w:lvl w:ilvl="8">
      <w:start w:val="1"/>
      <w:numFmt w:val="lowerRoman"/>
      <w:isLgl w:val="false"/>
      <w:suff w:val="tab"/>
      <w:lvlText w:val="%9."/>
      <w:lvlJc w:val="right"/>
      <w:pPr>
        <w:pStyle w:val="920"/>
        <w:ind w:left="4660" w:hanging="420"/>
        <w:tabs>
          <w:tab w:val="num" w:pos="4660" w:leader="none"/>
        </w:tabs>
      </w:pPr>
    </w:lvl>
  </w:abstractNum>
  <w:abstractNum w:abstractNumId="13">
    <w:multiLevelType w:val="hybridMultilevel"/>
    <w:lvl w:ilvl="0">
      <w:start w:val="1"/>
      <w:numFmt w:val="chineseCounting"/>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isLgl w:val="false"/>
      <w:suff w:val="nothing"/>
      <w:lvlText w:val="第%1条"/>
      <w:lvlJc w:val="left"/>
      <w:pPr>
        <w:pStyle w:val="920"/>
        <w:ind w:left="0" w:firstLine="0"/>
      </w:pPr>
      <w:rPr>
        <w:rFonts w:hint="eastAsia"/>
      </w:r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tab"/>
      <w:lvlText w:val="%1、"/>
      <w:lvlJc w:val="left"/>
      <w:pPr>
        <w:ind w:left="1202" w:hanging="720"/>
      </w:p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abstractNum w:abstractNumId="2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4"/>
  </w:num>
  <w:num w:numId="2">
    <w:abstractNumId w:val="12"/>
  </w:num>
  <w:num w:numId="3">
    <w:abstractNumId w:val="13"/>
    <w:lvlOverride w:ilvl="0">
      <w:startOverride w:val="1"/>
    </w:lvlOverride>
  </w:num>
  <w:num w:numId="4">
    <w:abstractNumId w:val="11"/>
    <w:lvlOverride w:ilvl="0">
      <w:startOverride w:val="1"/>
    </w:lvlOverride>
  </w:num>
  <w:num w:numId="5">
    <w:abstractNumId w:val="6"/>
  </w:num>
  <w:num w:numId="6">
    <w:abstractNumId w:val="8"/>
    <w:lvlOverride w:ilvl="0">
      <w:startOverride w:val="4"/>
    </w:lvlOverride>
  </w:num>
  <w:num w:numId="7">
    <w:abstractNumId w:val="0"/>
  </w:num>
  <w:num w:numId="8">
    <w:abstractNumId w:val="10"/>
  </w:num>
  <w:num w:numId="9">
    <w:abstractNumId w:val="3"/>
  </w:num>
  <w:num w:numId="10">
    <w:abstractNumId w:val="2"/>
  </w:num>
  <w:num w:numId="11">
    <w:abstractNumId w:val="7"/>
  </w:num>
  <w:num w:numId="12">
    <w:abstractNumId w:val="9"/>
  </w:num>
  <w:num w:numId="13">
    <w:abstractNumId w:val="14"/>
  </w:num>
  <w:num w:numId="14">
    <w:abstractNumId w:val="5"/>
  </w:num>
  <w:num w:numId="15">
    <w:abstractNumId w:val="1"/>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20"/>
    <w:next w:val="920"/>
    <w:link w:val="1186"/>
    <w:uiPriority w:val="9"/>
    <w:qFormat/>
    <w:pPr>
      <w:keepLines/>
      <w:keepNext/>
      <w:spacing w:before="480" w:after="200"/>
      <w:outlineLvl w:val="0"/>
    </w:pPr>
    <w:rPr>
      <w:rFonts w:ascii="Arial" w:hAnsi="Arial" w:eastAsia="Arial" w:cs="Arial"/>
      <w:sz w:val="40"/>
      <w:szCs w:val="40"/>
    </w:rPr>
  </w:style>
  <w:style w:type="paragraph" w:styleId="752">
    <w:name w:val="Heading 2"/>
    <w:basedOn w:val="920"/>
    <w:next w:val="920"/>
    <w:link w:val="1134"/>
    <w:uiPriority w:val="9"/>
    <w:unhideWhenUsed/>
    <w:qFormat/>
    <w:pPr>
      <w:keepLines/>
      <w:keepNext/>
      <w:spacing w:before="360" w:after="200"/>
      <w:outlineLvl w:val="1"/>
    </w:pPr>
    <w:rPr>
      <w:rFonts w:ascii="Arial" w:hAnsi="Arial" w:eastAsia="Arial" w:cs="Arial"/>
      <w:sz w:val="34"/>
    </w:rPr>
  </w:style>
  <w:style w:type="paragraph" w:styleId="753">
    <w:name w:val="Heading 3"/>
    <w:basedOn w:val="920"/>
    <w:next w:val="920"/>
    <w:link w:val="1184"/>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920"/>
    <w:next w:val="920"/>
    <w:link w:val="113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920"/>
    <w:next w:val="920"/>
    <w:link w:val="1152"/>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920"/>
    <w:next w:val="920"/>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link w:val="756"/>
    <w:uiPriority w:val="9"/>
    <w:rPr>
      <w:rFonts w:ascii="Arial" w:hAnsi="Arial" w:eastAsia="Arial" w:cs="Arial"/>
      <w:b/>
      <w:bCs/>
      <w:sz w:val="22"/>
      <w:szCs w:val="22"/>
    </w:rPr>
  </w:style>
  <w:style w:type="paragraph" w:styleId="758">
    <w:name w:val="Heading 7"/>
    <w:basedOn w:val="920"/>
    <w:next w:val="920"/>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link w:val="758"/>
    <w:uiPriority w:val="9"/>
    <w:rPr>
      <w:rFonts w:ascii="Arial" w:hAnsi="Arial" w:eastAsia="Arial" w:cs="Arial"/>
      <w:b/>
      <w:bCs/>
      <w:i/>
      <w:iCs/>
      <w:sz w:val="22"/>
      <w:szCs w:val="22"/>
    </w:rPr>
  </w:style>
  <w:style w:type="paragraph" w:styleId="760">
    <w:name w:val="Heading 8"/>
    <w:basedOn w:val="920"/>
    <w:next w:val="920"/>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link w:val="760"/>
    <w:uiPriority w:val="9"/>
    <w:rPr>
      <w:rFonts w:ascii="Arial" w:hAnsi="Arial" w:eastAsia="Arial" w:cs="Arial"/>
      <w:i/>
      <w:iCs/>
      <w:sz w:val="22"/>
      <w:szCs w:val="22"/>
    </w:rPr>
  </w:style>
  <w:style w:type="paragraph" w:styleId="762">
    <w:name w:val="Heading 9"/>
    <w:basedOn w:val="920"/>
    <w:next w:val="920"/>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link w:val="762"/>
    <w:uiPriority w:val="9"/>
    <w:rPr>
      <w:rFonts w:ascii="Arial" w:hAnsi="Arial" w:eastAsia="Arial" w:cs="Arial"/>
      <w:i/>
      <w:iCs/>
      <w:sz w:val="21"/>
      <w:szCs w:val="21"/>
    </w:rPr>
  </w:style>
  <w:style w:type="paragraph" w:styleId="764">
    <w:name w:val="List Paragraph"/>
    <w:basedOn w:val="920"/>
    <w:uiPriority w:val="34"/>
    <w:qFormat/>
    <w:pPr>
      <w:contextualSpacing/>
      <w:ind w:left="720"/>
    </w:pPr>
  </w:style>
  <w:style w:type="paragraph" w:styleId="765">
    <w:name w:val="No Spacing"/>
    <w:uiPriority w:val="1"/>
    <w:qFormat/>
    <w:pPr>
      <w:spacing w:before="0" w:after="0" w:line="240" w:lineRule="auto"/>
    </w:pPr>
  </w:style>
  <w:style w:type="paragraph" w:styleId="766">
    <w:name w:val="Title"/>
    <w:basedOn w:val="920"/>
    <w:next w:val="920"/>
    <w:link w:val="1204"/>
    <w:uiPriority w:val="10"/>
    <w:qFormat/>
    <w:pPr>
      <w:contextualSpacing/>
      <w:spacing w:before="300" w:after="200"/>
    </w:pPr>
    <w:rPr>
      <w:sz w:val="48"/>
      <w:szCs w:val="48"/>
    </w:rPr>
  </w:style>
  <w:style w:type="paragraph" w:styleId="767">
    <w:name w:val="Subtitle"/>
    <w:basedOn w:val="920"/>
    <w:next w:val="920"/>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0"/>
    <w:next w:val="920"/>
    <w:link w:val="770"/>
    <w:uiPriority w:val="29"/>
    <w:qFormat/>
    <w:pPr>
      <w:ind w:left="720" w:right="720"/>
    </w:pPr>
    <w:rPr>
      <w:i/>
    </w:rPr>
  </w:style>
  <w:style w:type="character" w:styleId="770">
    <w:name w:val="Quote Char"/>
    <w:link w:val="769"/>
    <w:uiPriority w:val="29"/>
    <w:rPr>
      <w:i/>
    </w:rPr>
  </w:style>
  <w:style w:type="paragraph" w:styleId="771">
    <w:name w:val="Intense Quote"/>
    <w:basedOn w:val="920"/>
    <w:next w:val="920"/>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0"/>
    <w:link w:val="1207"/>
    <w:uiPriority w:val="99"/>
    <w:unhideWhenUsed/>
    <w:pPr>
      <w:spacing w:after="0" w:line="240" w:lineRule="auto"/>
      <w:tabs>
        <w:tab w:val="center" w:pos="7143" w:leader="none"/>
        <w:tab w:val="right" w:pos="14287" w:leader="none"/>
      </w:tabs>
    </w:pPr>
  </w:style>
  <w:style w:type="paragraph" w:styleId="774">
    <w:name w:val="Footer"/>
    <w:basedOn w:val="920"/>
    <w:link w:val="776"/>
    <w:uiPriority w:val="99"/>
    <w:unhideWhenUsed/>
    <w:pPr>
      <w:spacing w:after="0" w:line="240" w:lineRule="auto"/>
      <w:tabs>
        <w:tab w:val="center" w:pos="7143" w:leader="none"/>
        <w:tab w:val="right" w:pos="14287" w:leader="none"/>
      </w:tabs>
    </w:pPr>
  </w:style>
  <w:style w:type="paragraph" w:styleId="775">
    <w:name w:val="Caption"/>
    <w:basedOn w:val="920"/>
    <w:next w:val="920"/>
    <w:uiPriority w:val="35"/>
    <w:semiHidden/>
    <w:unhideWhenUsed/>
    <w:qFormat/>
    <w:pPr>
      <w:spacing w:line="276" w:lineRule="auto"/>
    </w:pPr>
    <w:rPr>
      <w:b/>
      <w:bCs/>
      <w:color w:val="4f81bd" w:themeColor="accent1"/>
      <w:sz w:val="18"/>
      <w:szCs w:val="18"/>
    </w:rPr>
  </w:style>
  <w:style w:type="character" w:styleId="776">
    <w:name w:val="Caption Char"/>
    <w:basedOn w:val="775"/>
    <w:link w:val="774"/>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0"/>
    <w:link w:val="1181"/>
    <w:uiPriority w:val="99"/>
    <w:semiHidden/>
    <w:unhideWhenUsed/>
    <w:pPr>
      <w:spacing w:after="40" w:line="240" w:lineRule="auto"/>
    </w:pPr>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32"/>
    <w:link w:val="920"/>
    <w:qFormat/>
    <w:pPr>
      <w:jc w:val="both"/>
      <w:widowControl w:val="off"/>
    </w:pPr>
    <w:rPr>
      <w:rFonts w:eastAsia="楷体_GB2312"/>
      <w:sz w:val="26"/>
      <w:lang w:val="en-US" w:eastAsia="zh-CN" w:bidi="ar-SA"/>
    </w:rPr>
  </w:style>
  <w:style w:type="paragraph" w:styleId="921">
    <w:name w:val="标题 1"/>
    <w:basedOn w:val="920"/>
    <w:next w:val="920"/>
    <w:link w:val="934"/>
    <w:qFormat/>
    <w:pPr>
      <w:keepLines/>
      <w:keepNext/>
      <w:spacing w:before="340" w:after="330" w:line="578" w:lineRule="auto"/>
      <w:outlineLvl w:val="0"/>
    </w:pPr>
    <w:rPr>
      <w:b/>
      <w:sz w:val="44"/>
    </w:rPr>
  </w:style>
  <w:style w:type="paragraph" w:styleId="922">
    <w:name w:val="标题 2"/>
    <w:basedOn w:val="920"/>
    <w:next w:val="920"/>
    <w:link w:val="935"/>
    <w:qFormat/>
    <w:pPr>
      <w:jc w:val="left"/>
      <w:keepLines/>
      <w:keepNext/>
      <w:outlineLvl w:val="1"/>
    </w:pPr>
    <w:rPr>
      <w:rFonts w:ascii="宋体" w:hAnsi="宋体"/>
      <w:b/>
    </w:rPr>
  </w:style>
  <w:style w:type="paragraph" w:styleId="923">
    <w:name w:val="标题 3"/>
    <w:basedOn w:val="920"/>
    <w:next w:val="920"/>
    <w:link w:val="936"/>
    <w:uiPriority w:val="1"/>
    <w:qFormat/>
    <w:pPr>
      <w:jc w:val="left"/>
      <w:keepLines/>
      <w:keepNext/>
      <w:outlineLvl w:val="2"/>
    </w:pPr>
    <w:rPr>
      <w:b/>
    </w:rPr>
  </w:style>
  <w:style w:type="paragraph" w:styleId="924">
    <w:name w:val="标题 4"/>
    <w:basedOn w:val="920"/>
    <w:next w:val="920"/>
    <w:link w:val="937"/>
    <w:qFormat/>
    <w:pPr>
      <w:keepLines/>
      <w:keepNext/>
      <w:spacing w:before="280" w:after="290" w:line="376" w:lineRule="auto"/>
      <w:outlineLvl w:val="3"/>
    </w:pPr>
    <w:rPr>
      <w:rFonts w:ascii="Arial" w:hAnsi="Arial" w:eastAsia="黑体"/>
      <w:b/>
      <w:bCs/>
      <w:sz w:val="28"/>
      <w:szCs w:val="28"/>
    </w:rPr>
  </w:style>
  <w:style w:type="paragraph" w:styleId="925">
    <w:name w:val="标题 5"/>
    <w:basedOn w:val="920"/>
    <w:next w:val="920"/>
    <w:link w:val="938"/>
    <w:qFormat/>
    <w:pPr>
      <w:jc w:val="left"/>
      <w:keepLines/>
      <w:keepNext/>
      <w:spacing w:before="280" w:after="290" w:line="376" w:lineRule="atLeast"/>
      <w:outlineLvl w:val="4"/>
    </w:pPr>
    <w:rPr>
      <w:rFonts w:ascii="宋体" w:hAnsi="Tms Rmn" w:eastAsia="宋体"/>
      <w:b/>
      <w:sz w:val="28"/>
    </w:rPr>
  </w:style>
  <w:style w:type="paragraph" w:styleId="926">
    <w:name w:val="标题 6"/>
    <w:basedOn w:val="920"/>
    <w:next w:val="920"/>
    <w:link w:val="939"/>
    <w:qFormat/>
    <w:pPr>
      <w:jc w:val="left"/>
      <w:keepLines/>
      <w:keepNext/>
      <w:spacing w:before="240" w:after="64" w:line="320" w:lineRule="atLeast"/>
      <w:outlineLvl w:val="5"/>
    </w:pPr>
    <w:rPr>
      <w:rFonts w:ascii="黑体" w:hAnsi="Tms Rmn" w:eastAsia="黑体"/>
      <w:b/>
      <w:sz w:val="24"/>
    </w:rPr>
  </w:style>
  <w:style w:type="paragraph" w:styleId="927">
    <w:name w:val="标题 7"/>
    <w:basedOn w:val="920"/>
    <w:next w:val="920"/>
    <w:link w:val="940"/>
    <w:qFormat/>
    <w:pPr>
      <w:jc w:val="left"/>
      <w:keepLines/>
      <w:keepNext/>
      <w:spacing w:before="240" w:after="64" w:line="320" w:lineRule="atLeast"/>
      <w:outlineLvl w:val="6"/>
    </w:pPr>
    <w:rPr>
      <w:rFonts w:ascii="宋体" w:hAnsi="Tms Rmn" w:eastAsia="宋体"/>
      <w:b/>
      <w:sz w:val="24"/>
    </w:rPr>
  </w:style>
  <w:style w:type="paragraph" w:styleId="928">
    <w:name w:val="标题 8"/>
    <w:basedOn w:val="920"/>
    <w:next w:val="920"/>
    <w:link w:val="941"/>
    <w:qFormat/>
    <w:pPr>
      <w:keepLines/>
      <w:keepNext/>
      <w:spacing w:before="240" w:after="64" w:line="320" w:lineRule="auto"/>
      <w:outlineLvl w:val="7"/>
    </w:pPr>
    <w:rPr>
      <w:rFonts w:ascii="Arial" w:hAnsi="Arial" w:eastAsia="黑体"/>
      <w:sz w:val="24"/>
      <w:szCs w:val="24"/>
    </w:rPr>
  </w:style>
  <w:style w:type="paragraph" w:styleId="929">
    <w:name w:val="标题 9"/>
    <w:basedOn w:val="920"/>
    <w:next w:val="920"/>
    <w:link w:val="942"/>
    <w:qFormat/>
    <w:pPr>
      <w:keepLines/>
      <w:keepNext/>
      <w:spacing w:before="240" w:after="64" w:line="320" w:lineRule="auto"/>
      <w:outlineLvl w:val="8"/>
    </w:pPr>
    <w:rPr>
      <w:rFonts w:ascii="Arial" w:hAnsi="Arial" w:eastAsia="黑体"/>
      <w:sz w:val="21"/>
      <w:szCs w:val="21"/>
    </w:rPr>
  </w:style>
  <w:style w:type="character" w:styleId="930">
    <w:name w:val="默认段落字体"/>
    <w:next w:val="930"/>
    <w:link w:val="920"/>
    <w:uiPriority w:val="1"/>
    <w:unhideWhenUsed/>
  </w:style>
  <w:style w:type="table" w:styleId="931">
    <w:name w:val="普通表格"/>
    <w:next w:val="931"/>
    <w:link w:val="920"/>
    <w:uiPriority w:val="99"/>
    <w:unhideWhenUsed/>
    <w:qFormat/>
    <w:tblPr/>
  </w:style>
  <w:style w:type="paragraph" w:styleId="932">
    <w:name w:val="正文文本缩进11"/>
    <w:basedOn w:val="920"/>
    <w:next w:val="933"/>
    <w:link w:val="920"/>
    <w:qFormat/>
    <w:pPr>
      <w:ind w:left="570"/>
      <w:spacing w:line="520" w:lineRule="exact"/>
    </w:pPr>
    <w:rPr>
      <w:rFonts w:ascii="方正仿宋简体" w:hAnsi="创艺简仿宋" w:eastAsia="方正仿宋简体"/>
      <w:sz w:val="24"/>
      <w:szCs w:val="20"/>
    </w:rPr>
  </w:style>
  <w:style w:type="paragraph" w:styleId="933">
    <w:name w:val="寄信人地址1"/>
    <w:basedOn w:val="920"/>
    <w:next w:val="933"/>
    <w:link w:val="920"/>
    <w:qFormat/>
    <w:rPr>
      <w:rFonts w:ascii="Arial" w:hAnsi="Arial"/>
    </w:rPr>
  </w:style>
  <w:style w:type="character" w:styleId="934">
    <w:name w:val="标题 1 Char"/>
    <w:next w:val="934"/>
    <w:link w:val="921"/>
    <w:qFormat/>
    <w:rPr>
      <w:rFonts w:ascii="Times New Roman" w:hAnsi="Times New Roman" w:eastAsia="楷体_GB2312" w:cs="Times New Roman"/>
      <w:b/>
      <w:sz w:val="44"/>
      <w:szCs w:val="20"/>
    </w:rPr>
  </w:style>
  <w:style w:type="character" w:styleId="935">
    <w:name w:val="标题 2 Char"/>
    <w:next w:val="935"/>
    <w:link w:val="922"/>
    <w:qFormat/>
    <w:rPr>
      <w:rFonts w:ascii="宋体" w:hAnsi="宋体" w:eastAsia="楷体_GB2312" w:cs="Times New Roman"/>
      <w:b/>
      <w:sz w:val="26"/>
      <w:szCs w:val="20"/>
    </w:rPr>
  </w:style>
  <w:style w:type="character" w:styleId="936">
    <w:name w:val="标题 3 Char"/>
    <w:next w:val="936"/>
    <w:link w:val="923"/>
    <w:uiPriority w:val="1"/>
    <w:qFormat/>
    <w:rPr>
      <w:rFonts w:ascii="Times New Roman" w:hAnsi="Times New Roman" w:eastAsia="楷体_GB2312" w:cs="Times New Roman"/>
      <w:b/>
      <w:sz w:val="26"/>
      <w:szCs w:val="20"/>
    </w:rPr>
  </w:style>
  <w:style w:type="character" w:styleId="937">
    <w:name w:val="标题 4 Char"/>
    <w:next w:val="937"/>
    <w:link w:val="924"/>
    <w:qFormat/>
    <w:rPr>
      <w:rFonts w:ascii="Arial" w:hAnsi="Arial" w:eastAsia="黑体" w:cs="Times New Roman"/>
      <w:b/>
      <w:bCs/>
      <w:sz w:val="28"/>
      <w:szCs w:val="28"/>
    </w:rPr>
  </w:style>
  <w:style w:type="character" w:styleId="938">
    <w:name w:val="标题 5 Char"/>
    <w:next w:val="938"/>
    <w:link w:val="925"/>
    <w:qFormat/>
    <w:rPr>
      <w:rFonts w:ascii="宋体" w:hAnsi="Tms Rmn" w:eastAsia="宋体" w:cs="Times New Roman"/>
      <w:b/>
      <w:sz w:val="28"/>
      <w:szCs w:val="20"/>
    </w:rPr>
  </w:style>
  <w:style w:type="character" w:styleId="939">
    <w:name w:val="标题 6 Char"/>
    <w:next w:val="939"/>
    <w:link w:val="926"/>
    <w:qFormat/>
    <w:rPr>
      <w:rFonts w:ascii="黑体" w:hAnsi="Tms Rmn" w:eastAsia="黑体" w:cs="Times New Roman"/>
      <w:b/>
      <w:sz w:val="24"/>
      <w:szCs w:val="20"/>
    </w:rPr>
  </w:style>
  <w:style w:type="character" w:styleId="940">
    <w:name w:val="标题 7 Char"/>
    <w:next w:val="940"/>
    <w:link w:val="927"/>
    <w:qFormat/>
    <w:rPr>
      <w:rFonts w:ascii="宋体" w:hAnsi="Tms Rmn" w:eastAsia="宋体" w:cs="Times New Roman"/>
      <w:b/>
      <w:sz w:val="24"/>
      <w:szCs w:val="20"/>
    </w:rPr>
  </w:style>
  <w:style w:type="character" w:styleId="941">
    <w:name w:val="标题 8 Char"/>
    <w:next w:val="941"/>
    <w:link w:val="928"/>
    <w:qFormat/>
    <w:rPr>
      <w:rFonts w:ascii="Arial" w:hAnsi="Arial" w:eastAsia="黑体" w:cs="Times New Roman"/>
      <w:sz w:val="24"/>
      <w:szCs w:val="24"/>
    </w:rPr>
  </w:style>
  <w:style w:type="character" w:styleId="942">
    <w:name w:val="标题 9 Char"/>
    <w:next w:val="942"/>
    <w:link w:val="929"/>
    <w:qFormat/>
    <w:rPr>
      <w:rFonts w:ascii="Arial" w:hAnsi="Arial" w:eastAsia="黑体" w:cs="Times New Roman"/>
      <w:szCs w:val="21"/>
    </w:rPr>
  </w:style>
  <w:style w:type="paragraph" w:styleId="943">
    <w:name w:val="目录 7"/>
    <w:basedOn w:val="920"/>
    <w:next w:val="920"/>
    <w:link w:val="920"/>
    <w:uiPriority w:val="39"/>
    <w:qFormat/>
    <w:pPr>
      <w:ind w:left="2520"/>
    </w:pPr>
  </w:style>
  <w:style w:type="paragraph" w:styleId="944">
    <w:name w:val="索引 8"/>
    <w:basedOn w:val="920"/>
    <w:next w:val="920"/>
    <w:link w:val="920"/>
    <w:semiHidden/>
    <w:qFormat/>
    <w:pPr>
      <w:ind w:left="2940"/>
    </w:pPr>
  </w:style>
  <w:style w:type="paragraph" w:styleId="945">
    <w:name w:val="列表编号"/>
    <w:basedOn w:val="920"/>
    <w:next w:val="945"/>
    <w:link w:val="920"/>
    <w:qFormat/>
    <w:pPr>
      <w:ind w:left="1125" w:hanging="555"/>
      <w:tabs>
        <w:tab w:val="left" w:pos="1125" w:leader="none"/>
      </w:tabs>
    </w:pPr>
    <w:rPr>
      <w:rFonts w:eastAsia="宋体"/>
      <w:sz w:val="21"/>
      <w:szCs w:val="24"/>
    </w:rPr>
  </w:style>
  <w:style w:type="paragraph" w:styleId="946">
    <w:name w:val="正文缩进"/>
    <w:basedOn w:val="920"/>
    <w:next w:val="920"/>
    <w:link w:val="947"/>
    <w:qFormat/>
    <w:pPr>
      <w:ind w:firstLine="420"/>
      <w:jc w:val="left"/>
    </w:pPr>
    <w:rPr>
      <w:rFonts w:ascii="Calibri" w:hAnsi="Calibri" w:cs="Times New Roman"/>
      <w:sz w:val="24"/>
      <w:szCs w:val="22"/>
    </w:rPr>
  </w:style>
  <w:style w:type="character" w:styleId="947">
    <w:name w:val="正文缩进 Char"/>
    <w:next w:val="947"/>
    <w:link w:val="946"/>
    <w:qFormat/>
    <w:rPr>
      <w:rFonts w:eastAsia="楷体_GB2312"/>
      <w:sz w:val="24"/>
    </w:rPr>
  </w:style>
  <w:style w:type="paragraph" w:styleId="948">
    <w:name w:val="题注"/>
    <w:basedOn w:val="920"/>
    <w:next w:val="920"/>
    <w:link w:val="920"/>
    <w:qFormat/>
    <w:rPr>
      <w:rFonts w:ascii="Cambria" w:hAnsi="Cambria" w:eastAsia="黑体"/>
      <w:sz w:val="20"/>
    </w:rPr>
  </w:style>
  <w:style w:type="paragraph" w:styleId="949">
    <w:name w:val="索引 5"/>
    <w:basedOn w:val="920"/>
    <w:next w:val="920"/>
    <w:link w:val="920"/>
    <w:semiHidden/>
    <w:qFormat/>
    <w:pPr>
      <w:ind w:left="1680"/>
    </w:pPr>
  </w:style>
  <w:style w:type="paragraph" w:styleId="950">
    <w:name w:val="列表项目符号"/>
    <w:basedOn w:val="921"/>
    <w:next w:val="920"/>
    <w:link w:val="920"/>
    <w:uiPriority w:val="99"/>
    <w:unhideWhenUsed/>
    <w:qFormat/>
    <w:pPr>
      <w:numPr>
        <w:ilvl w:val="0"/>
        <w:numId w:val="1"/>
      </w:numPr>
      <w:tabs>
        <w:tab w:val="left" w:pos="360" w:leader="none"/>
      </w:tabs>
    </w:pPr>
  </w:style>
  <w:style w:type="paragraph" w:styleId="951">
    <w:name w:val="文档结构图"/>
    <w:basedOn w:val="920"/>
    <w:next w:val="951"/>
    <w:link w:val="952"/>
    <w:qFormat/>
    <w:pPr>
      <w:shd w:val="clear" w:color="auto" w:fill="000080"/>
    </w:pPr>
    <w:rPr>
      <w:rFonts w:eastAsia="宋体"/>
      <w:sz w:val="21"/>
    </w:rPr>
  </w:style>
  <w:style w:type="character" w:styleId="952">
    <w:name w:val="文档结构图 Char"/>
    <w:next w:val="952"/>
    <w:link w:val="951"/>
    <w:qFormat/>
    <w:rPr>
      <w:rFonts w:ascii="Times New Roman" w:hAnsi="Times New Roman" w:eastAsia="宋体" w:cs="Times New Roman"/>
      <w:szCs w:val="20"/>
      <w:shd w:val="clear" w:color="auto" w:fill="000080"/>
    </w:rPr>
  </w:style>
  <w:style w:type="paragraph" w:styleId="953">
    <w:name w:val="批注文字"/>
    <w:basedOn w:val="920"/>
    <w:next w:val="953"/>
    <w:link w:val="954"/>
    <w:unhideWhenUsed/>
    <w:qFormat/>
    <w:pPr>
      <w:jc w:val="left"/>
    </w:pPr>
  </w:style>
  <w:style w:type="character" w:styleId="954">
    <w:name w:val="批注文字 Char1"/>
    <w:next w:val="954"/>
    <w:link w:val="953"/>
    <w:uiPriority w:val="99"/>
    <w:qFormat/>
    <w:rPr>
      <w:rFonts w:ascii="Times New Roman" w:hAnsi="Times New Roman" w:eastAsia="楷体_GB2312" w:cs="Times New Roman"/>
      <w:sz w:val="26"/>
      <w:szCs w:val="20"/>
    </w:rPr>
  </w:style>
  <w:style w:type="paragraph" w:styleId="955">
    <w:name w:val="索引 6"/>
    <w:basedOn w:val="920"/>
    <w:next w:val="920"/>
    <w:link w:val="920"/>
    <w:semiHidden/>
    <w:qFormat/>
    <w:pPr>
      <w:ind w:left="2100"/>
    </w:pPr>
  </w:style>
  <w:style w:type="paragraph" w:styleId="956">
    <w:name w:val="正文文本 3"/>
    <w:basedOn w:val="920"/>
    <w:next w:val="956"/>
    <w:link w:val="957"/>
    <w:qFormat/>
    <w:rPr>
      <w:rFonts w:ascii="宋体" w:eastAsia="宋体"/>
      <w:sz w:val="24"/>
    </w:rPr>
  </w:style>
  <w:style w:type="character" w:styleId="957">
    <w:name w:val="正文文本 3 Char"/>
    <w:next w:val="957"/>
    <w:link w:val="956"/>
    <w:qFormat/>
    <w:rPr>
      <w:rFonts w:ascii="宋体"/>
      <w:sz w:val="24"/>
    </w:rPr>
  </w:style>
  <w:style w:type="paragraph" w:styleId="958">
    <w:name w:val="正文文本"/>
    <w:basedOn w:val="920"/>
    <w:next w:val="958"/>
    <w:link w:val="959"/>
    <w:qFormat/>
    <w:pPr>
      <w:spacing w:line="400" w:lineRule="exact"/>
    </w:pPr>
    <w:rPr>
      <w:rFonts w:ascii="楷体_GB2312" w:hAnsi="Calibri" w:cs="Times New Roman"/>
      <w:sz w:val="28"/>
      <w:szCs w:val="22"/>
    </w:rPr>
  </w:style>
  <w:style w:type="character" w:styleId="959">
    <w:name w:val="正文文本 Char"/>
    <w:next w:val="959"/>
    <w:link w:val="958"/>
    <w:qFormat/>
    <w:rPr>
      <w:rFonts w:ascii="楷体_GB2312" w:eastAsia="楷体_GB2312"/>
      <w:sz w:val="28"/>
    </w:rPr>
  </w:style>
  <w:style w:type="paragraph" w:styleId="960">
    <w:name w:val="正文文本缩进"/>
    <w:basedOn w:val="920"/>
    <w:next w:val="962"/>
    <w:link w:val="961"/>
    <w:uiPriority w:val="99"/>
    <w:qFormat/>
    <w:pPr>
      <w:ind w:left="570"/>
      <w:spacing w:line="520" w:lineRule="exact"/>
    </w:pPr>
    <w:rPr>
      <w:rFonts w:ascii="方正仿宋简体" w:hAnsi="创艺简仿宋" w:eastAsia="方正仿宋简体" w:cs="Times New Roman"/>
      <w:sz w:val="24"/>
      <w:szCs w:val="22"/>
    </w:rPr>
  </w:style>
  <w:style w:type="character" w:styleId="961">
    <w:name w:val="正文文本缩进 Char"/>
    <w:next w:val="961"/>
    <w:link w:val="960"/>
    <w:uiPriority w:val="99"/>
    <w:qFormat/>
    <w:rPr>
      <w:rFonts w:ascii="方正仿宋简体" w:hAnsi="创艺简仿宋" w:eastAsia="方正仿宋简体"/>
      <w:sz w:val="24"/>
    </w:rPr>
  </w:style>
  <w:style w:type="paragraph" w:styleId="962">
    <w:name w:val="目录 51"/>
    <w:next w:val="920"/>
    <w:link w:val="920"/>
    <w:qFormat/>
    <w:pPr>
      <w:ind w:left="1275"/>
      <w:jc w:val="both"/>
    </w:pPr>
    <w:rPr>
      <w:sz w:val="21"/>
      <w:lang w:val="en-US" w:eastAsia="zh-CN" w:bidi="ar-SA"/>
    </w:rPr>
  </w:style>
  <w:style w:type="paragraph" w:styleId="963">
    <w:name w:val="列表 2"/>
    <w:basedOn w:val="920"/>
    <w:next w:val="963"/>
    <w:link w:val="920"/>
    <w:qFormat/>
    <w:pPr>
      <w:ind w:left="840" w:hanging="420"/>
    </w:pPr>
    <w:rPr>
      <w:rFonts w:eastAsia="宋体"/>
      <w:sz w:val="21"/>
      <w:szCs w:val="24"/>
    </w:rPr>
  </w:style>
  <w:style w:type="paragraph" w:styleId="964">
    <w:name w:val="列表接续"/>
    <w:basedOn w:val="920"/>
    <w:next w:val="964"/>
    <w:link w:val="920"/>
    <w:qFormat/>
    <w:pPr>
      <w:ind w:left="420"/>
      <w:jc w:val="left"/>
      <w:spacing w:after="120"/>
      <w:widowControl/>
    </w:pPr>
    <w:rPr>
      <w:sz w:val="20"/>
      <w:szCs w:val="20"/>
    </w:rPr>
  </w:style>
  <w:style w:type="paragraph" w:styleId="965">
    <w:name w:val="文本块"/>
    <w:basedOn w:val="920"/>
    <w:next w:val="965"/>
    <w:link w:val="920"/>
    <w:qFormat/>
    <w:pPr>
      <w:ind w:left="630" w:right="-609" w:firstLine="420"/>
      <w:spacing w:line="360" w:lineRule="auto"/>
    </w:pPr>
    <w:rPr>
      <w:rFonts w:hint="eastAsia" w:ascii="仿宋_GB2312" w:eastAsia="仿宋_GB2312"/>
      <w:sz w:val="21"/>
    </w:rPr>
  </w:style>
  <w:style w:type="paragraph" w:styleId="966">
    <w:name w:val="索引 4"/>
    <w:basedOn w:val="920"/>
    <w:next w:val="920"/>
    <w:link w:val="920"/>
    <w:qFormat/>
    <w:pPr>
      <w:ind w:left="1260"/>
    </w:pPr>
  </w:style>
  <w:style w:type="paragraph" w:styleId="967">
    <w:name w:val="目录 5"/>
    <w:basedOn w:val="920"/>
    <w:next w:val="920"/>
    <w:link w:val="920"/>
    <w:uiPriority w:val="39"/>
    <w:qFormat/>
    <w:pPr>
      <w:ind w:left="1680"/>
    </w:pPr>
  </w:style>
  <w:style w:type="paragraph" w:styleId="968">
    <w:name w:val="目录 3"/>
    <w:basedOn w:val="920"/>
    <w:next w:val="920"/>
    <w:link w:val="920"/>
    <w:uiPriority w:val="39"/>
    <w:qFormat/>
    <w:pPr>
      <w:ind w:left="840"/>
    </w:pPr>
  </w:style>
  <w:style w:type="paragraph" w:styleId="969">
    <w:name w:val="纯文本"/>
    <w:basedOn w:val="920"/>
    <w:next w:val="969"/>
    <w:link w:val="970"/>
    <w:qFormat/>
    <w:rPr>
      <w:rFonts w:ascii="宋体" w:hAnsi="Courier New" w:cs="Times New Roman"/>
      <w:szCs w:val="22"/>
    </w:rPr>
  </w:style>
  <w:style w:type="character" w:styleId="970">
    <w:name w:val="纯文本 Char"/>
    <w:next w:val="970"/>
    <w:link w:val="969"/>
    <w:qFormat/>
    <w:rPr>
      <w:rFonts w:ascii="宋体" w:hAnsi="Courier New" w:eastAsia="楷体_GB2312"/>
      <w:sz w:val="26"/>
    </w:rPr>
  </w:style>
  <w:style w:type="paragraph" w:styleId="971">
    <w:name w:val="目录 8"/>
    <w:basedOn w:val="920"/>
    <w:next w:val="920"/>
    <w:link w:val="920"/>
    <w:uiPriority w:val="39"/>
    <w:qFormat/>
    <w:pPr>
      <w:ind w:left="2940"/>
    </w:pPr>
  </w:style>
  <w:style w:type="paragraph" w:styleId="972">
    <w:name w:val="索引 3"/>
    <w:basedOn w:val="920"/>
    <w:next w:val="920"/>
    <w:link w:val="920"/>
    <w:semiHidden/>
    <w:qFormat/>
    <w:pPr>
      <w:ind w:left="840"/>
    </w:pPr>
  </w:style>
  <w:style w:type="paragraph" w:styleId="973">
    <w:name w:val="日期"/>
    <w:basedOn w:val="920"/>
    <w:next w:val="920"/>
    <w:link w:val="974"/>
    <w:qFormat/>
    <w:rPr>
      <w:rFonts w:ascii="宋体" w:hAnsi="宋体"/>
      <w:sz w:val="24"/>
    </w:rPr>
  </w:style>
  <w:style w:type="character" w:styleId="974">
    <w:name w:val="日期 Char"/>
    <w:next w:val="974"/>
    <w:link w:val="973"/>
    <w:qFormat/>
    <w:rPr>
      <w:rFonts w:ascii="宋体" w:hAnsi="宋体" w:eastAsia="楷体_GB2312" w:cs="Times New Roman"/>
      <w:sz w:val="24"/>
      <w:szCs w:val="20"/>
    </w:rPr>
  </w:style>
  <w:style w:type="paragraph" w:styleId="975">
    <w:name w:val="正文文本缩进 2"/>
    <w:basedOn w:val="920"/>
    <w:next w:val="975"/>
    <w:link w:val="976"/>
    <w:qFormat/>
    <w:pPr>
      <w:ind w:firstLine="502"/>
      <w:spacing w:line="360" w:lineRule="auto"/>
      <w:tabs>
        <w:tab w:val="left" w:pos="0" w:leader="none"/>
      </w:tabs>
    </w:pPr>
    <w:rPr>
      <w:rFonts w:ascii="宋体" w:hAnsi="Calibri" w:eastAsia="宋体" w:cs="Times New Roman"/>
      <w:b/>
      <w:bCs/>
      <w:sz w:val="24"/>
      <w:szCs w:val="22"/>
    </w:rPr>
  </w:style>
  <w:style w:type="character" w:styleId="976">
    <w:name w:val="正文文本缩进 2 Char"/>
    <w:next w:val="976"/>
    <w:link w:val="975"/>
    <w:qFormat/>
    <w:rPr>
      <w:rFonts w:ascii="宋体"/>
      <w:b/>
      <w:bCs/>
      <w:sz w:val="24"/>
    </w:rPr>
  </w:style>
  <w:style w:type="paragraph" w:styleId="977">
    <w:name w:val="批注框文本"/>
    <w:basedOn w:val="920"/>
    <w:next w:val="977"/>
    <w:link w:val="978"/>
    <w:qFormat/>
    <w:rPr>
      <w:sz w:val="18"/>
      <w:szCs w:val="18"/>
    </w:rPr>
  </w:style>
  <w:style w:type="character" w:styleId="978">
    <w:name w:val="批注框文本 Char"/>
    <w:next w:val="978"/>
    <w:link w:val="977"/>
    <w:qFormat/>
    <w:rPr>
      <w:rFonts w:ascii="Times New Roman" w:hAnsi="Times New Roman" w:eastAsia="楷体_GB2312" w:cs="Times New Roman"/>
      <w:sz w:val="18"/>
      <w:szCs w:val="18"/>
    </w:rPr>
  </w:style>
  <w:style w:type="paragraph" w:styleId="979">
    <w:name w:val="页脚"/>
    <w:basedOn w:val="920"/>
    <w:next w:val="979"/>
    <w:link w:val="980"/>
    <w:uiPriority w:val="99"/>
    <w:qFormat/>
    <w:pPr>
      <w:jc w:val="left"/>
      <w:tabs>
        <w:tab w:val="center" w:pos="4153" w:leader="none"/>
        <w:tab w:val="right" w:pos="8306" w:leader="none"/>
      </w:tabs>
    </w:pPr>
    <w:rPr>
      <w:sz w:val="18"/>
    </w:rPr>
  </w:style>
  <w:style w:type="character" w:styleId="980">
    <w:name w:val="页脚 Char"/>
    <w:next w:val="980"/>
    <w:link w:val="979"/>
    <w:uiPriority w:val="99"/>
    <w:qFormat/>
    <w:rPr>
      <w:rFonts w:ascii="Times New Roman" w:hAnsi="Times New Roman" w:eastAsia="楷体_GB2312" w:cs="Times New Roman"/>
      <w:sz w:val="18"/>
      <w:szCs w:val="20"/>
    </w:rPr>
  </w:style>
  <w:style w:type="paragraph" w:styleId="981">
    <w:name w:val="寄信人地址"/>
    <w:basedOn w:val="920"/>
    <w:next w:val="981"/>
    <w:link w:val="920"/>
    <w:qFormat/>
    <w:rPr>
      <w:rFonts w:ascii="Arial" w:hAnsi="Arial"/>
    </w:rPr>
  </w:style>
  <w:style w:type="paragraph" w:styleId="982">
    <w:name w:val="页眉"/>
    <w:basedOn w:val="920"/>
    <w:next w:val="982"/>
    <w:link w:val="983"/>
    <w:uiPriority w:val="99"/>
    <w:qFormat/>
    <w:pPr>
      <w:jc w:val="center"/>
      <w:tabs>
        <w:tab w:val="center" w:pos="4153" w:leader="none"/>
        <w:tab w:val="right" w:pos="8306" w:leader="none"/>
      </w:tabs>
      <w:pBdr>
        <w:bottom w:val="single" w:color="000000" w:sz="6" w:space="1"/>
      </w:pBdr>
    </w:pPr>
    <w:rPr>
      <w:sz w:val="18"/>
    </w:rPr>
  </w:style>
  <w:style w:type="character" w:styleId="983">
    <w:name w:val="页眉 Char"/>
    <w:next w:val="983"/>
    <w:link w:val="982"/>
    <w:uiPriority w:val="99"/>
    <w:qFormat/>
    <w:rPr>
      <w:rFonts w:ascii="Times New Roman" w:hAnsi="Times New Roman" w:eastAsia="楷体_GB2312" w:cs="Times New Roman"/>
      <w:sz w:val="18"/>
      <w:szCs w:val="20"/>
    </w:rPr>
  </w:style>
  <w:style w:type="paragraph" w:styleId="984">
    <w:name w:val="目录 1"/>
    <w:basedOn w:val="920"/>
    <w:next w:val="920"/>
    <w:link w:val="920"/>
    <w:qFormat/>
    <w:pPr>
      <w:jc w:val="left"/>
    </w:pPr>
    <w:rPr>
      <w:sz w:val="24"/>
    </w:rPr>
  </w:style>
  <w:style w:type="paragraph" w:styleId="985">
    <w:name w:val="目录 4"/>
    <w:basedOn w:val="920"/>
    <w:next w:val="920"/>
    <w:link w:val="920"/>
    <w:uiPriority w:val="39"/>
    <w:qFormat/>
    <w:pPr>
      <w:ind w:left="1260"/>
    </w:pPr>
  </w:style>
  <w:style w:type="paragraph" w:styleId="986">
    <w:name w:val="索引标题"/>
    <w:basedOn w:val="920"/>
    <w:next w:val="987"/>
    <w:link w:val="920"/>
    <w:semiHidden/>
    <w:qFormat/>
  </w:style>
  <w:style w:type="paragraph" w:styleId="987">
    <w:name w:val="索引 1"/>
    <w:basedOn w:val="920"/>
    <w:next w:val="920"/>
    <w:link w:val="920"/>
    <w:semiHidden/>
    <w:qFormat/>
  </w:style>
  <w:style w:type="paragraph" w:styleId="988">
    <w:name w:val="副标题"/>
    <w:basedOn w:val="920"/>
    <w:next w:val="920"/>
    <w:link w:val="989"/>
    <w:qFormat/>
    <w:pPr>
      <w:jc w:val="center"/>
      <w:spacing w:before="240" w:after="60" w:line="312" w:lineRule="auto"/>
      <w:outlineLvl w:val="1"/>
    </w:pPr>
    <w:rPr>
      <w:rFonts w:ascii="Cambria" w:hAnsi="Cambria" w:eastAsia="宋体"/>
      <w:b/>
      <w:bCs/>
      <w:sz w:val="32"/>
      <w:szCs w:val="32"/>
    </w:rPr>
  </w:style>
  <w:style w:type="character" w:styleId="989">
    <w:name w:val="副标题 Char"/>
    <w:next w:val="989"/>
    <w:link w:val="988"/>
    <w:qFormat/>
    <w:rPr>
      <w:rFonts w:ascii="Cambria" w:hAnsi="Cambria" w:eastAsia="宋体" w:cs="Times New Roman"/>
      <w:b/>
      <w:bCs/>
      <w:sz w:val="32"/>
      <w:szCs w:val="32"/>
    </w:rPr>
  </w:style>
  <w:style w:type="paragraph" w:styleId="990">
    <w:name w:val="列表"/>
    <w:basedOn w:val="920"/>
    <w:next w:val="990"/>
    <w:link w:val="920"/>
    <w:qFormat/>
    <w:pPr>
      <w:ind w:left="420" w:hanging="420"/>
    </w:pPr>
    <w:rPr>
      <w:rFonts w:eastAsia="宋体"/>
      <w:sz w:val="21"/>
      <w:szCs w:val="24"/>
    </w:rPr>
  </w:style>
  <w:style w:type="paragraph" w:styleId="991">
    <w:name w:val="脚注文本"/>
    <w:basedOn w:val="920"/>
    <w:next w:val="991"/>
    <w:link w:val="992"/>
    <w:qFormat/>
    <w:pPr>
      <w:jc w:val="left"/>
    </w:pPr>
    <w:rPr>
      <w:sz w:val="18"/>
    </w:rPr>
  </w:style>
  <w:style w:type="character" w:styleId="992">
    <w:name w:val="脚注文本 Char"/>
    <w:next w:val="992"/>
    <w:link w:val="991"/>
    <w:qFormat/>
    <w:rPr>
      <w:rFonts w:ascii="Times New Roman" w:hAnsi="Times New Roman" w:eastAsia="楷体_GB2312" w:cs="Times New Roman"/>
      <w:sz w:val="18"/>
      <w:szCs w:val="20"/>
    </w:rPr>
  </w:style>
  <w:style w:type="paragraph" w:styleId="993">
    <w:name w:val="目录 6"/>
    <w:basedOn w:val="920"/>
    <w:next w:val="920"/>
    <w:link w:val="920"/>
    <w:uiPriority w:val="39"/>
    <w:qFormat/>
    <w:pPr>
      <w:ind w:left="2100"/>
    </w:pPr>
  </w:style>
  <w:style w:type="paragraph" w:styleId="994">
    <w:name w:val="正文文本缩进 3"/>
    <w:basedOn w:val="920"/>
    <w:next w:val="994"/>
    <w:link w:val="995"/>
    <w:qFormat/>
    <w:pPr>
      <w:ind w:firstLine="617"/>
      <w:spacing w:line="360" w:lineRule="auto"/>
    </w:pPr>
    <w:rPr>
      <w:rFonts w:eastAsia="宋体"/>
      <w:sz w:val="24"/>
      <w:szCs w:val="24"/>
    </w:rPr>
  </w:style>
  <w:style w:type="character" w:styleId="995">
    <w:name w:val="正文文本缩进 3 Char"/>
    <w:next w:val="995"/>
    <w:link w:val="994"/>
    <w:qFormat/>
    <w:rPr>
      <w:rFonts w:ascii="Times New Roman" w:hAnsi="Times New Roman" w:eastAsia="宋体" w:cs="Times New Roman"/>
      <w:sz w:val="24"/>
      <w:szCs w:val="24"/>
    </w:rPr>
  </w:style>
  <w:style w:type="paragraph" w:styleId="996">
    <w:name w:val="索引 7"/>
    <w:basedOn w:val="920"/>
    <w:next w:val="920"/>
    <w:link w:val="920"/>
    <w:semiHidden/>
    <w:qFormat/>
    <w:pPr>
      <w:ind w:left="2520"/>
    </w:pPr>
  </w:style>
  <w:style w:type="paragraph" w:styleId="997">
    <w:name w:val="索引 9"/>
    <w:basedOn w:val="920"/>
    <w:next w:val="920"/>
    <w:link w:val="920"/>
    <w:semiHidden/>
    <w:qFormat/>
    <w:pPr>
      <w:ind w:left="3360"/>
    </w:pPr>
  </w:style>
  <w:style w:type="paragraph" w:styleId="998">
    <w:name w:val="图表目录"/>
    <w:basedOn w:val="920"/>
    <w:next w:val="920"/>
    <w:link w:val="920"/>
    <w:semiHidden/>
    <w:qFormat/>
    <w:pPr>
      <w:ind w:left="420" w:hanging="420"/>
      <w:jc w:val="left"/>
    </w:pPr>
    <w:rPr>
      <w:smallCaps/>
      <w:sz w:val="24"/>
    </w:rPr>
  </w:style>
  <w:style w:type="paragraph" w:styleId="999">
    <w:name w:val="目录 2"/>
    <w:basedOn w:val="920"/>
    <w:next w:val="920"/>
    <w:link w:val="920"/>
    <w:uiPriority w:val="39"/>
    <w:qFormat/>
    <w:pPr>
      <w:ind w:left="420"/>
    </w:pPr>
  </w:style>
  <w:style w:type="paragraph" w:styleId="1000">
    <w:name w:val="目录 9"/>
    <w:basedOn w:val="920"/>
    <w:next w:val="920"/>
    <w:link w:val="920"/>
    <w:uiPriority w:val="39"/>
    <w:qFormat/>
    <w:pPr>
      <w:ind w:left="3360"/>
    </w:pPr>
  </w:style>
  <w:style w:type="paragraph" w:styleId="1001">
    <w:name w:val="正文文本 2"/>
    <w:basedOn w:val="921"/>
    <w:next w:val="950"/>
    <w:link w:val="1002"/>
    <w:qFormat/>
    <w:pPr>
      <w:spacing w:after="120" w:line="480" w:lineRule="auto"/>
    </w:pPr>
  </w:style>
  <w:style w:type="character" w:styleId="1002">
    <w:name w:val="正文文本 2 Char"/>
    <w:next w:val="1002"/>
    <w:link w:val="1001"/>
    <w:qFormat/>
    <w:rPr>
      <w:rFonts w:ascii="Times New Roman" w:hAnsi="Times New Roman" w:eastAsia="楷体_GB2312" w:cs="Times New Roman"/>
      <w:sz w:val="26"/>
      <w:szCs w:val="20"/>
    </w:rPr>
  </w:style>
  <w:style w:type="paragraph" w:styleId="1003">
    <w:name w:val="HTML 预设格式"/>
    <w:basedOn w:val="920"/>
    <w:next w:val="1003"/>
    <w:link w:val="100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1"/>
      <w:szCs w:val="22"/>
    </w:rPr>
  </w:style>
  <w:style w:type="character" w:styleId="1004">
    <w:name w:val="HTML 预设格式 Char"/>
    <w:next w:val="1004"/>
    <w:link w:val="1003"/>
    <w:uiPriority w:val="99"/>
    <w:qFormat/>
    <w:rPr>
      <w:rFonts w:ascii="黑体" w:hAnsi="Courier New" w:eastAsia="黑体" w:cs="楷体_GB2312"/>
    </w:rPr>
  </w:style>
  <w:style w:type="paragraph" w:styleId="1005">
    <w:name w:val="普通(网站)"/>
    <w:basedOn w:val="920"/>
    <w:next w:val="1005"/>
    <w:link w:val="920"/>
    <w:qFormat/>
    <w:pPr>
      <w:jc w:val="left"/>
      <w:spacing w:before="100" w:beforeAutospacing="1" w:after="100" w:afterAutospacing="1"/>
      <w:widowControl/>
    </w:pPr>
    <w:rPr>
      <w:rFonts w:ascii="宋体" w:hAnsi="宋体" w:eastAsia="宋体" w:cs="宋体"/>
      <w:sz w:val="24"/>
      <w:szCs w:val="24"/>
    </w:rPr>
  </w:style>
  <w:style w:type="paragraph" w:styleId="1006">
    <w:name w:val="索引 2"/>
    <w:basedOn w:val="920"/>
    <w:next w:val="920"/>
    <w:link w:val="920"/>
    <w:semiHidden/>
    <w:qFormat/>
    <w:pPr>
      <w:ind w:left="420"/>
    </w:pPr>
  </w:style>
  <w:style w:type="paragraph" w:styleId="1007">
    <w:name w:val="标题"/>
    <w:basedOn w:val="920"/>
    <w:next w:val="1007"/>
    <w:link w:val="1008"/>
    <w:qFormat/>
    <w:pPr>
      <w:numPr>
        <w:ilvl w:val="3"/>
        <w:numId w:val="2"/>
      </w:numPr>
      <w:jc w:val="center"/>
      <w:spacing w:before="240" w:after="60" w:line="360" w:lineRule="atLeast"/>
      <w:tabs>
        <w:tab w:val="left" w:pos="851" w:leader="none"/>
        <w:tab w:val="left" w:pos="2560" w:leader="none"/>
      </w:tabs>
      <w:outlineLvl w:val="0"/>
    </w:pPr>
    <w:rPr>
      <w:rFonts w:ascii="Arial" w:hAnsi="Arial" w:eastAsia="宋体" w:cs="Times New Roman"/>
      <w:b/>
      <w:sz w:val="32"/>
      <w:szCs w:val="22"/>
    </w:rPr>
  </w:style>
  <w:style w:type="character" w:styleId="1008">
    <w:name w:val="标题 Char"/>
    <w:next w:val="1008"/>
    <w:link w:val="1007"/>
    <w:qFormat/>
    <w:rPr>
      <w:rFonts w:ascii="Arial" w:hAnsi="Arial"/>
      <w:b/>
      <w:sz w:val="32"/>
    </w:rPr>
  </w:style>
  <w:style w:type="paragraph" w:styleId="1009">
    <w:name w:val="批注主题"/>
    <w:basedOn w:val="953"/>
    <w:next w:val="953"/>
    <w:link w:val="1010"/>
    <w:qFormat/>
    <w:rPr>
      <w:b/>
      <w:bCs/>
    </w:rPr>
  </w:style>
  <w:style w:type="character" w:styleId="1010">
    <w:name w:val="批注主题 Char"/>
    <w:next w:val="1010"/>
    <w:link w:val="1009"/>
    <w:qFormat/>
    <w:rPr>
      <w:rFonts w:ascii="Times New Roman" w:hAnsi="Times New Roman" w:eastAsia="楷体_GB2312" w:cs="Times New Roman"/>
      <w:b/>
      <w:bCs/>
      <w:sz w:val="26"/>
      <w:szCs w:val="20"/>
    </w:rPr>
  </w:style>
  <w:style w:type="paragraph" w:styleId="1011">
    <w:name w:val="正文首行缩进"/>
    <w:basedOn w:val="958"/>
    <w:next w:val="1011"/>
    <w:link w:val="1012"/>
    <w:qFormat/>
    <w:pPr>
      <w:ind w:firstLine="420"/>
      <w:spacing w:after="120" w:line="240" w:lineRule="auto"/>
    </w:pPr>
    <w:rPr>
      <w:rFonts w:ascii="Times New Roman"/>
      <w:sz w:val="26"/>
    </w:rPr>
  </w:style>
  <w:style w:type="character" w:styleId="1012">
    <w:name w:val="正文首行缩进 Char"/>
    <w:next w:val="1012"/>
    <w:link w:val="1011"/>
    <w:qFormat/>
    <w:rPr>
      <w:rFonts w:ascii="Times New Roman" w:hAnsi="Times New Roman" w:eastAsia="楷体_GB2312" w:cs="Times New Roman"/>
      <w:sz w:val="26"/>
      <w:szCs w:val="20"/>
    </w:rPr>
  </w:style>
  <w:style w:type="paragraph" w:styleId="1013">
    <w:name w:val="正文首行缩进 2"/>
    <w:basedOn w:val="960"/>
    <w:next w:val="920"/>
    <w:link w:val="1014"/>
    <w:qFormat/>
    <w:pPr>
      <w:ind w:left="0" w:firstLine="420"/>
      <w:spacing w:after="120" w:line="240" w:lineRule="auto"/>
    </w:pPr>
    <w:rPr>
      <w:rFonts w:ascii="Times New Roman" w:hAnsi="Times New Roman" w:eastAsia="宋体" w:cs="Times New Roman"/>
      <w:sz w:val="20"/>
      <w:szCs w:val="20"/>
    </w:rPr>
  </w:style>
  <w:style w:type="character" w:styleId="1014">
    <w:name w:val="正文首行缩进 2 Char"/>
    <w:next w:val="1014"/>
    <w:link w:val="1013"/>
    <w:qFormat/>
  </w:style>
  <w:style w:type="table" w:styleId="1015">
    <w:name w:val="网格型"/>
    <w:basedOn w:val="931"/>
    <w:next w:val="1015"/>
    <w:link w:val="920"/>
    <w:unhideWhenUsed/>
    <w:qFormat/>
    <w:tblPr/>
  </w:style>
  <w:style w:type="character" w:styleId="1016">
    <w:name w:val="要点"/>
    <w:basedOn w:val="930"/>
    <w:next w:val="1016"/>
    <w:link w:val="920"/>
    <w:qFormat/>
    <w:rPr>
      <w:b/>
      <w:bCs/>
    </w:rPr>
  </w:style>
  <w:style w:type="character" w:styleId="1017">
    <w:name w:val="页码"/>
    <w:next w:val="1017"/>
    <w:link w:val="920"/>
    <w:qFormat/>
  </w:style>
  <w:style w:type="character" w:styleId="1018">
    <w:name w:val="已访问的超链接"/>
    <w:next w:val="1018"/>
    <w:link w:val="920"/>
    <w:uiPriority w:val="99"/>
    <w:unhideWhenUsed/>
    <w:qFormat/>
    <w:rPr>
      <w:color w:val="333333"/>
      <w:u w:val="none"/>
    </w:rPr>
  </w:style>
  <w:style w:type="character" w:styleId="1019">
    <w:name w:val="强调"/>
    <w:basedOn w:val="930"/>
    <w:next w:val="1019"/>
    <w:link w:val="920"/>
    <w:qFormat/>
    <w:rPr>
      <w:color w:val="cc0000"/>
    </w:rPr>
  </w:style>
  <w:style w:type="character" w:styleId="1020">
    <w:name w:val="超链接"/>
    <w:next w:val="1020"/>
    <w:link w:val="920"/>
    <w:uiPriority w:val="99"/>
    <w:qFormat/>
    <w:rPr>
      <w:color w:val="333333"/>
      <w:u w:val="none"/>
    </w:rPr>
  </w:style>
  <w:style w:type="character" w:styleId="1021">
    <w:name w:val="批注引用"/>
    <w:next w:val="1021"/>
    <w:link w:val="920"/>
    <w:uiPriority w:val="99"/>
    <w:qFormat/>
    <w:rPr>
      <w:sz w:val="21"/>
      <w:szCs w:val="21"/>
    </w:rPr>
  </w:style>
  <w:style w:type="character" w:styleId="1022">
    <w:name w:val="脚注引用"/>
    <w:next w:val="1022"/>
    <w:link w:val="920"/>
    <w:semiHidden/>
    <w:qFormat/>
    <w:rPr>
      <w:vertAlign w:val="superscript"/>
    </w:rPr>
  </w:style>
  <w:style w:type="character" w:styleId="1023">
    <w:name w:val="NormalCharacter1"/>
    <w:next w:val="1023"/>
    <w:link w:val="920"/>
    <w:qFormat/>
    <w:rPr>
      <w:rFonts w:eastAsia="楷体_GB2312"/>
      <w:sz w:val="26"/>
      <w:lang w:val="en-US" w:eastAsia="zh-CN" w:bidi="ar-SA"/>
    </w:rPr>
  </w:style>
  <w:style w:type="paragraph" w:styleId="1024">
    <w:name w:val="段"/>
    <w:next w:val="920"/>
    <w:link w:val="920"/>
    <w:qFormat/>
    <w:pPr>
      <w:ind w:firstLine="200"/>
      <w:jc w:val="both"/>
    </w:pPr>
    <w:rPr>
      <w:rFonts w:ascii="宋体"/>
      <w:sz w:val="21"/>
      <w:lang w:val="en-US" w:eastAsia="zh-CN" w:bidi="ar-SA"/>
    </w:rPr>
  </w:style>
  <w:style w:type="paragraph" w:styleId="1025">
    <w:name w:val="正文_1_0"/>
    <w:next w:val="1024"/>
    <w:link w:val="920"/>
    <w:qFormat/>
    <w:pPr>
      <w:jc w:val="both"/>
      <w:widowControl w:val="off"/>
    </w:pPr>
    <w:rPr>
      <w:sz w:val="21"/>
      <w:szCs w:val="22"/>
      <w:lang w:val="en-US" w:eastAsia="zh-CN" w:bidi="ar-SA"/>
    </w:rPr>
  </w:style>
  <w:style w:type="paragraph" w:styleId="1026">
    <w:name w:val="正文文本1"/>
    <w:basedOn w:val="920"/>
    <w:next w:val="1026"/>
    <w:link w:val="920"/>
    <w:qFormat/>
    <w:pPr>
      <w:jc w:val="center"/>
    </w:pPr>
    <w:rPr>
      <w:rFonts w:ascii="方正大黑简体" w:hAnsi="Tahoma" w:eastAsia="方正大黑简体" w:cs="Times New Roman"/>
      <w:position w:val="6"/>
      <w:sz w:val="30"/>
      <w:szCs w:val="20"/>
      <w:lang w:eastAsia="en-US"/>
    </w:rPr>
  </w:style>
  <w:style w:type="character" w:styleId="1027">
    <w:name w:val="正文文本 Char1"/>
    <w:next w:val="1027"/>
    <w:link w:val="920"/>
    <w:qFormat/>
    <w:rPr>
      <w:rFonts w:ascii="Times New Roman" w:hAnsi="Times New Roman" w:eastAsia="楷体_GB2312" w:cs="Times New Roman"/>
      <w:sz w:val="26"/>
      <w:szCs w:val="20"/>
    </w:rPr>
  </w:style>
  <w:style w:type="paragraph" w:styleId="1028">
    <w:name w:val="Default"/>
    <w:next w:val="1028"/>
    <w:link w:val="920"/>
    <w:qFormat/>
    <w:pPr>
      <w:widowControl w:val="off"/>
    </w:pPr>
    <w:rPr>
      <w:rFonts w:ascii="宋体" w:hAnsi="Calibri" w:cs="宋体"/>
      <w:color w:val="000000"/>
      <w:sz w:val="24"/>
      <w:szCs w:val="24"/>
      <w:lang w:val="en-US" w:eastAsia="zh-CN" w:bidi="ar-SA"/>
    </w:rPr>
  </w:style>
  <w:style w:type="paragraph" w:styleId="1029">
    <w:name w:val="_Style 21"/>
    <w:next w:val="1029"/>
    <w:link w:val="920"/>
    <w:qFormat/>
    <w:pPr>
      <w:jc w:val="both"/>
      <w:widowControl w:val="off"/>
    </w:pPr>
    <w:rPr>
      <w:rFonts w:eastAsia="楷体_GB2312"/>
      <w:sz w:val="26"/>
      <w:lang w:val="en-US" w:eastAsia="zh-CN" w:bidi="ar-SA"/>
    </w:rPr>
  </w:style>
  <w:style w:type="character" w:styleId="1030">
    <w:name w:val="样式 首行缩进:  2 字符 Char"/>
    <w:next w:val="1030"/>
    <w:link w:val="1031"/>
    <w:qFormat/>
    <w:rPr>
      <w:rFonts w:eastAsia="仿宋_GB2312"/>
      <w:sz w:val="24"/>
    </w:rPr>
  </w:style>
  <w:style w:type="paragraph" w:styleId="1031">
    <w:name w:val="样式 首行缩进:  2 字符"/>
    <w:basedOn w:val="920"/>
    <w:next w:val="1031"/>
    <w:link w:val="1030"/>
    <w:qFormat/>
    <w:pPr>
      <w:ind w:firstLine="560"/>
      <w:spacing w:line="360" w:lineRule="auto"/>
    </w:pPr>
    <w:rPr>
      <w:rFonts w:ascii="Calibri" w:hAnsi="Calibri" w:eastAsia="仿宋_GB2312" w:cs="Times New Roman"/>
      <w:sz w:val="24"/>
      <w:szCs w:val="22"/>
    </w:rPr>
  </w:style>
  <w:style w:type="character" w:styleId="1032">
    <w:name w:val="批注文字 Char"/>
    <w:next w:val="1032"/>
    <w:link w:val="920"/>
    <w:qFormat/>
    <w:rPr>
      <w:rFonts w:eastAsia="楷体_GB2312"/>
      <w:sz w:val="26"/>
    </w:rPr>
  </w:style>
  <w:style w:type="character" w:styleId="1033">
    <w:name w:val="列出段落 Char"/>
    <w:next w:val="1033"/>
    <w:link w:val="1034"/>
    <w:uiPriority w:val="99"/>
    <w:qFormat/>
    <w:rPr>
      <w:rFonts w:eastAsia="楷体_GB2312"/>
      <w:sz w:val="26"/>
    </w:rPr>
  </w:style>
  <w:style w:type="paragraph" w:styleId="1034">
    <w:name w:val="列出段落1"/>
    <w:basedOn w:val="920"/>
    <w:next w:val="1034"/>
    <w:link w:val="1033"/>
    <w:uiPriority w:val="34"/>
    <w:qFormat/>
    <w:pPr>
      <w:ind w:firstLine="420"/>
    </w:pPr>
    <w:rPr>
      <w:rFonts w:ascii="Calibri" w:hAnsi="Calibri" w:cs="Times New Roman"/>
      <w:szCs w:val="22"/>
    </w:rPr>
  </w:style>
  <w:style w:type="character" w:styleId="1035">
    <w:name w:val="ca-221"/>
    <w:next w:val="1035"/>
    <w:link w:val="920"/>
    <w:qFormat/>
    <w:rPr>
      <w:rFonts w:hint="eastAsia" w:ascii="宋体" w:hAnsi="宋体" w:eastAsia="宋体"/>
      <w:color w:val="ff0000"/>
      <w:sz w:val="24"/>
      <w:szCs w:val="24"/>
    </w:rPr>
  </w:style>
  <w:style w:type="character" w:styleId="1036">
    <w:name w:val="正文首行缩进 Char Char"/>
    <w:next w:val="1036"/>
    <w:link w:val="1037"/>
    <w:qFormat/>
    <w:rPr>
      <w:szCs w:val="24"/>
    </w:rPr>
  </w:style>
  <w:style w:type="paragraph" w:styleId="1037">
    <w:name w:val="正文首行缩进1"/>
    <w:basedOn w:val="958"/>
    <w:next w:val="1037"/>
    <w:link w:val="1036"/>
    <w:qFormat/>
    <w:pPr>
      <w:ind w:firstLine="420"/>
      <w:spacing w:after="120" w:line="240" w:lineRule="auto"/>
    </w:pPr>
    <w:rPr>
      <w:rFonts w:ascii="Calibri" w:eastAsia="宋体"/>
      <w:sz w:val="21"/>
      <w:szCs w:val="24"/>
    </w:rPr>
  </w:style>
  <w:style w:type="character" w:styleId="1038">
    <w:name w:val="普通文字 Char Char"/>
    <w:next w:val="1038"/>
    <w:link w:val="920"/>
    <w:qFormat/>
    <w:rPr>
      <w:rFonts w:ascii="宋体" w:hAnsi="Courier New" w:eastAsia="楷体_GB2312"/>
      <w:sz w:val="26"/>
      <w:lang w:val="en-US" w:eastAsia="zh-CN" w:bidi="ar-SA"/>
    </w:rPr>
  </w:style>
  <w:style w:type="character" w:styleId="1039">
    <w:name w:val="正文文本缩进 Char1"/>
    <w:next w:val="1039"/>
    <w:link w:val="920"/>
    <w:qFormat/>
    <w:rPr>
      <w:rFonts w:ascii="Times New Roman" w:hAnsi="Times New Roman" w:eastAsia="楷体_GB2312" w:cs="Times New Roman"/>
      <w:sz w:val="26"/>
      <w:szCs w:val="20"/>
    </w:rPr>
  </w:style>
  <w:style w:type="character" w:styleId="1040">
    <w:name w:val="正文文本缩进 2 Char1"/>
    <w:next w:val="1040"/>
    <w:link w:val="920"/>
    <w:uiPriority w:val="99"/>
    <w:semiHidden/>
    <w:qFormat/>
    <w:rPr>
      <w:rFonts w:ascii="Times New Roman" w:hAnsi="Times New Roman" w:eastAsia="楷体_GB2312" w:cs="Times New Roman"/>
      <w:sz w:val="26"/>
      <w:szCs w:val="20"/>
    </w:rPr>
  </w:style>
  <w:style w:type="character" w:styleId="1041">
    <w:name w:val="纯文本 Char1"/>
    <w:next w:val="1041"/>
    <w:link w:val="920"/>
    <w:qFormat/>
    <w:rPr>
      <w:rFonts w:ascii="宋体" w:hAnsi="Courier New" w:eastAsia="宋体" w:cs="Courier New"/>
      <w:szCs w:val="21"/>
    </w:rPr>
  </w:style>
  <w:style w:type="character" w:styleId="1042">
    <w:name w:val="HTML 预设格式 Char1"/>
    <w:next w:val="1042"/>
    <w:link w:val="920"/>
    <w:uiPriority w:val="99"/>
    <w:semiHidden/>
    <w:qFormat/>
    <w:rPr>
      <w:rFonts w:ascii="Courier New" w:hAnsi="Courier New" w:eastAsia="楷体_GB2312" w:cs="Courier New"/>
      <w:sz w:val="20"/>
      <w:szCs w:val="20"/>
    </w:rPr>
  </w:style>
  <w:style w:type="paragraph" w:styleId="1043">
    <w:name w:val="Char Char3 Char Char Char Char Char Char Char Char Char Char Char Char Char Char Char Char"/>
    <w:basedOn w:val="920"/>
    <w:next w:val="1043"/>
    <w:link w:val="920"/>
    <w:qFormat/>
    <w:pPr>
      <w:ind w:firstLine="200"/>
      <w:jc w:val="left"/>
      <w:spacing w:after="160" w:line="360" w:lineRule="auto"/>
      <w:widowControl/>
    </w:pPr>
    <w:rPr>
      <w:rFonts w:ascii="宋体" w:hAnsi="宋体" w:eastAsia="宋体"/>
      <w:sz w:val="24"/>
    </w:rPr>
  </w:style>
  <w:style w:type="paragraph" w:styleId="1044">
    <w:name w:val="xl62"/>
    <w:basedOn w:val="920"/>
    <w:next w:val="1044"/>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45">
    <w:name w:val="xl45"/>
    <w:basedOn w:val="920"/>
    <w:next w:val="1045"/>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46">
    <w:name w:val="xl47"/>
    <w:basedOn w:val="920"/>
    <w:next w:val="1046"/>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47">
    <w:name w:val="xl66"/>
    <w:basedOn w:val="920"/>
    <w:next w:val="1047"/>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48">
    <w:name w:val="xl46"/>
    <w:basedOn w:val="920"/>
    <w:next w:val="1048"/>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49">
    <w:name w:val="xl61"/>
    <w:basedOn w:val="920"/>
    <w:next w:val="1049"/>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50">
    <w:name w:val="xl48"/>
    <w:basedOn w:val="920"/>
    <w:next w:val="1050"/>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51">
    <w:name w:val="Char Char Char"/>
    <w:basedOn w:val="920"/>
    <w:next w:val="1051"/>
    <w:link w:val="920"/>
    <w:qFormat/>
    <w:rPr>
      <w:rFonts w:ascii="Tahoma" w:hAnsi="Tahoma" w:eastAsia="宋体"/>
      <w:sz w:val="24"/>
    </w:rPr>
  </w:style>
  <w:style w:type="paragraph" w:styleId="1052">
    <w:name w:val="cardlist-value"/>
    <w:basedOn w:val="920"/>
    <w:next w:val="1052"/>
    <w:link w:val="920"/>
    <w:qFormat/>
    <w:pPr>
      <w:jc w:val="left"/>
      <w:spacing w:before="100" w:beforeAutospacing="1" w:after="100" w:afterAutospacing="1"/>
      <w:widowControl/>
    </w:pPr>
    <w:rPr>
      <w:rFonts w:ascii="宋体" w:hAnsi="宋体" w:eastAsia="宋体" w:cs="宋体"/>
      <w:sz w:val="24"/>
      <w:szCs w:val="24"/>
    </w:rPr>
  </w:style>
  <w:style w:type="paragraph" w:styleId="1053">
    <w:name w:val="Char"/>
    <w:basedOn w:val="920"/>
    <w:next w:val="1053"/>
    <w:link w:val="920"/>
    <w:qFormat/>
    <w:pPr>
      <w:jc w:val="left"/>
      <w:spacing w:after="160" w:line="240" w:lineRule="exact"/>
      <w:widowControl/>
    </w:pPr>
    <w:rPr>
      <w:rFonts w:ascii="Verdana" w:hAnsi="Verdana" w:eastAsia="仿宋_GB2312"/>
      <w:sz w:val="24"/>
      <w:lang w:eastAsia="en-US"/>
    </w:rPr>
  </w:style>
  <w:style w:type="paragraph" w:styleId="1054">
    <w:name w:val="Default Paragraph Font Para Char"/>
    <w:basedOn w:val="920"/>
    <w:next w:val="1054"/>
    <w:link w:val="920"/>
    <w:semiHidden/>
    <w:qFormat/>
    <w:pPr>
      <w:jc w:val="left"/>
      <w:spacing w:after="160" w:line="240" w:lineRule="exact"/>
      <w:widowControl/>
    </w:pPr>
    <w:rPr>
      <w:rFonts w:ascii="Verdana" w:hAnsi="Verdana" w:eastAsia="宋体"/>
      <w:sz w:val="20"/>
      <w:lang w:eastAsia="en-US"/>
    </w:rPr>
  </w:style>
  <w:style w:type="paragraph" w:styleId="1055">
    <w:name w:val="小四 段落 宋体 Char Char Char Char Char Char"/>
    <w:basedOn w:val="1056"/>
    <w:next w:val="1055"/>
    <w:link w:val="920"/>
    <w:qFormat/>
    <w:pPr>
      <w:ind w:firstLine="480"/>
    </w:pPr>
    <w:rPr>
      <w:rFonts w:ascii="宋体" w:hAnsi="宋体"/>
    </w:rPr>
  </w:style>
  <w:style w:type="paragraph" w:styleId="1056">
    <w:name w:val="小四 段落 宋体 Char Char Char Char Char Char Char"/>
    <w:basedOn w:val="945"/>
    <w:next w:val="1056"/>
    <w:link w:val="920"/>
    <w:semiHidden/>
    <w:qFormat/>
    <w:pPr>
      <w:ind w:left="0" w:right="-33" w:firstLine="545"/>
      <w:jc w:val="left"/>
      <w:spacing w:line="360" w:lineRule="auto"/>
      <w:tabs>
        <w:tab w:val="clear" w:pos="1125" w:leader="none"/>
      </w:tabs>
    </w:pPr>
    <w:rPr>
      <w:sz w:val="24"/>
    </w:rPr>
  </w:style>
  <w:style w:type="paragraph" w:styleId="1057">
    <w:name w:val="Plain Text1"/>
    <w:basedOn w:val="920"/>
    <w:next w:val="1057"/>
    <w:link w:val="920"/>
    <w:qFormat/>
    <w:rPr>
      <w:rFonts w:ascii="宋体" w:hAnsi="Courier New"/>
    </w:rPr>
  </w:style>
  <w:style w:type="paragraph" w:styleId="1058">
    <w:name w:val="xl50"/>
    <w:basedOn w:val="920"/>
    <w:next w:val="1058"/>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59">
    <w:name w:val="xl52"/>
    <w:basedOn w:val="920"/>
    <w:next w:val="1059"/>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0">
    <w:name w:val="font6"/>
    <w:basedOn w:val="920"/>
    <w:next w:val="1060"/>
    <w:link w:val="92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61">
    <w:name w:val="p0"/>
    <w:basedOn w:val="920"/>
    <w:next w:val="1061"/>
    <w:link w:val="920"/>
    <w:qFormat/>
    <w:pPr>
      <w:jc w:val="left"/>
      <w:spacing w:before="100" w:beforeAutospacing="1" w:after="100" w:afterAutospacing="1"/>
      <w:widowControl/>
    </w:pPr>
    <w:rPr>
      <w:rFonts w:ascii="宋体" w:hAnsi="宋体" w:eastAsia="宋体" w:cs="宋体"/>
      <w:sz w:val="24"/>
      <w:szCs w:val="24"/>
    </w:rPr>
  </w:style>
  <w:style w:type="paragraph" w:styleId="1062">
    <w:name w:val="Char1"/>
    <w:basedOn w:val="920"/>
    <w:next w:val="1062"/>
    <w:link w:val="920"/>
    <w:qFormat/>
    <w:rPr>
      <w:rFonts w:ascii="Tahoma" w:hAnsi="Tahoma" w:eastAsia="宋体"/>
      <w:sz w:val="24"/>
    </w:rPr>
  </w:style>
  <w:style w:type="paragraph" w:styleId="1063">
    <w:name w:val="xl53"/>
    <w:basedOn w:val="920"/>
    <w:next w:val="1063"/>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4">
    <w:name w:val="xl57"/>
    <w:basedOn w:val="920"/>
    <w:next w:val="1064"/>
    <w:link w:val="9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5">
    <w:name w:val="xl59"/>
    <w:basedOn w:val="920"/>
    <w:next w:val="1065"/>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6">
    <w:name w:val="xl65"/>
    <w:basedOn w:val="920"/>
    <w:next w:val="1066"/>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7">
    <w:name w:val="font5"/>
    <w:basedOn w:val="920"/>
    <w:next w:val="1067"/>
    <w:link w:val="920"/>
    <w:qFormat/>
    <w:pPr>
      <w:jc w:val="left"/>
      <w:spacing w:before="100" w:beforeAutospacing="1" w:after="100" w:afterAutospacing="1"/>
      <w:widowControl/>
    </w:pPr>
    <w:rPr>
      <w:rFonts w:hint="eastAsia" w:ascii="宋体" w:hAnsi="宋体" w:eastAsia="宋体"/>
      <w:sz w:val="18"/>
      <w:szCs w:val="18"/>
    </w:rPr>
  </w:style>
  <w:style w:type="paragraph" w:styleId="1068">
    <w:name w:val="小四 段落 宋体 Char"/>
    <w:basedOn w:val="945"/>
    <w:next w:val="1068"/>
    <w:link w:val="920"/>
    <w:qFormat/>
    <w:pPr>
      <w:ind w:left="0" w:right="-33" w:firstLine="480"/>
      <w:jc w:val="left"/>
      <w:spacing w:line="360" w:lineRule="auto"/>
      <w:tabs>
        <w:tab w:val="clear" w:pos="1125" w:leader="none"/>
      </w:tabs>
    </w:pPr>
    <w:rPr>
      <w:sz w:val="24"/>
    </w:rPr>
  </w:style>
  <w:style w:type="paragraph" w:styleId="1069">
    <w:name w:val="xl58"/>
    <w:basedOn w:val="920"/>
    <w:next w:val="1069"/>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0">
    <w:name w:val="xl49"/>
    <w:basedOn w:val="920"/>
    <w:next w:val="1070"/>
    <w:link w:val="92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71">
    <w:name w:val="纯文本1"/>
    <w:basedOn w:val="920"/>
    <w:next w:val="1071"/>
    <w:link w:val="920"/>
    <w:qFormat/>
    <w:rPr>
      <w:rFonts w:ascii="宋体" w:hAnsi="Courier New"/>
    </w:rPr>
  </w:style>
  <w:style w:type="paragraph" w:styleId="1072">
    <w:name w:val="Char Char"/>
    <w:basedOn w:val="920"/>
    <w:next w:val="1072"/>
    <w:link w:val="920"/>
    <w:qFormat/>
    <w:rPr>
      <w:rFonts w:eastAsia="宋体"/>
      <w:sz w:val="21"/>
      <w:szCs w:val="24"/>
    </w:rPr>
  </w:style>
  <w:style w:type="paragraph" w:styleId="1073">
    <w:name w:val="Char Char Char1 Char Char Char Char"/>
    <w:basedOn w:val="920"/>
    <w:next w:val="1073"/>
    <w:link w:val="920"/>
    <w:qFormat/>
    <w:pPr>
      <w:jc w:val="left"/>
      <w:spacing w:after="160" w:line="240" w:lineRule="exact"/>
      <w:widowControl/>
    </w:pPr>
    <w:rPr>
      <w:rFonts w:eastAsia="宋体"/>
      <w:sz w:val="24"/>
      <w:szCs w:val="24"/>
    </w:rPr>
  </w:style>
  <w:style w:type="paragraph" w:styleId="1074">
    <w:name w:val="xl51"/>
    <w:basedOn w:val="920"/>
    <w:next w:val="1074"/>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75">
    <w:name w:val="font7"/>
    <w:basedOn w:val="920"/>
    <w:next w:val="1075"/>
    <w:link w:val="920"/>
    <w:qFormat/>
    <w:pPr>
      <w:jc w:val="left"/>
      <w:spacing w:before="100" w:beforeAutospacing="1" w:after="100" w:afterAutospacing="1"/>
      <w:widowControl/>
    </w:pPr>
    <w:rPr>
      <w:rFonts w:eastAsia="宋体"/>
      <w:sz w:val="20"/>
    </w:rPr>
  </w:style>
  <w:style w:type="paragraph" w:styleId="1076">
    <w:name w:val="xl54"/>
    <w:basedOn w:val="920"/>
    <w:next w:val="1076"/>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7">
    <w:name w:val="xl55"/>
    <w:basedOn w:val="920"/>
    <w:next w:val="1077"/>
    <w:link w:val="92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8">
    <w:name w:val="xl56"/>
    <w:basedOn w:val="920"/>
    <w:next w:val="1078"/>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9">
    <w:name w:val="xl60"/>
    <w:basedOn w:val="920"/>
    <w:next w:val="1079"/>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0">
    <w:name w:val="xl63"/>
    <w:basedOn w:val="920"/>
    <w:next w:val="1080"/>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81">
    <w:name w:val="xl64"/>
    <w:basedOn w:val="920"/>
    <w:next w:val="1081"/>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character" w:styleId="1082">
    <w:name w:val="标题 Char1"/>
    <w:next w:val="1082"/>
    <w:link w:val="920"/>
    <w:uiPriority w:val="10"/>
    <w:qFormat/>
    <w:rPr>
      <w:rFonts w:ascii="Cambria" w:hAnsi="Cambria" w:eastAsia="宋体" w:cs="Times New Roman"/>
      <w:b/>
      <w:bCs/>
      <w:sz w:val="32"/>
      <w:szCs w:val="32"/>
    </w:rPr>
  </w:style>
  <w:style w:type="paragraph" w:styleId="1083">
    <w:name w:val="图"/>
    <w:basedOn w:val="920"/>
    <w:next w:val="1083"/>
    <w:link w:val="920"/>
    <w:qFormat/>
    <w:pPr>
      <w:jc w:val="center"/>
      <w:keepNext/>
      <w:spacing w:before="60" w:after="60" w:line="300" w:lineRule="auto"/>
    </w:pPr>
    <w:rPr>
      <w:rFonts w:eastAsia="宋体"/>
      <w:spacing w:val="20"/>
      <w:sz w:val="24"/>
    </w:rPr>
  </w:style>
  <w:style w:type="paragraph" w:styleId="1084">
    <w:name w:val="纯文本2"/>
    <w:next w:val="1084"/>
    <w:link w:val="920"/>
    <w:qFormat/>
    <w:pPr>
      <w:jc w:val="both"/>
      <w:widowControl w:val="off"/>
    </w:pPr>
    <w:rPr>
      <w:rFonts w:ascii="宋体" w:hAnsi="宋体" w:cs="宋体"/>
      <w:color w:val="000000"/>
      <w:sz w:val="26"/>
      <w:szCs w:val="26"/>
      <w:lang w:val="en-US" w:eastAsia="zh-CN" w:bidi="ar-SA"/>
    </w:rPr>
  </w:style>
  <w:style w:type="paragraph" w:styleId="1085">
    <w:name w:val="正文_9"/>
    <w:next w:val="1085"/>
    <w:link w:val="920"/>
    <w:qFormat/>
    <w:pPr>
      <w:jc w:val="both"/>
      <w:widowControl w:val="off"/>
    </w:pPr>
    <w:rPr>
      <w:rFonts w:ascii="Calibri" w:hAnsi="Calibri"/>
      <w:lang w:val="en-US" w:eastAsia="zh-CN" w:bidi="ar-SA"/>
    </w:rPr>
  </w:style>
  <w:style w:type="paragraph" w:styleId="1086">
    <w:name w:val="Normal_14"/>
    <w:next w:val="1086"/>
    <w:link w:val="920"/>
    <w:qFormat/>
    <w:pPr>
      <w:jc w:val="both"/>
      <w:widowControl w:val="off"/>
    </w:pPr>
    <w:rPr>
      <w:rFonts w:eastAsia="Times New Roman"/>
      <w:lang w:val="en-US" w:eastAsia="zh-CN" w:bidi="ar-SA"/>
    </w:rPr>
  </w:style>
  <w:style w:type="paragraph" w:styleId="1087">
    <w:name w:val="正文_6"/>
    <w:next w:val="1087"/>
    <w:link w:val="920"/>
    <w:qFormat/>
    <w:pPr>
      <w:jc w:val="both"/>
      <w:widowControl w:val="off"/>
    </w:pPr>
    <w:rPr>
      <w:rFonts w:ascii="Calibri" w:hAnsi="Calibri"/>
      <w:lang w:val="en-US" w:eastAsia="zh-CN" w:bidi="ar-SA"/>
    </w:rPr>
  </w:style>
  <w:style w:type="character" w:styleId="1088">
    <w:name w:val="Char Char20"/>
    <w:next w:val="1088"/>
    <w:link w:val="920"/>
    <w:qFormat/>
    <w:rPr>
      <w:rFonts w:ascii="Arial" w:hAnsi="Arial" w:eastAsia="黑体"/>
      <w:sz w:val="24"/>
      <w:szCs w:val="24"/>
      <w:lang w:val="en-US" w:eastAsia="zh-CN" w:bidi="ar-SA"/>
    </w:rPr>
  </w:style>
  <w:style w:type="character" w:styleId="1089">
    <w:name w:val="apple-style-span"/>
    <w:next w:val="1089"/>
    <w:link w:val="920"/>
    <w:qFormat/>
  </w:style>
  <w:style w:type="paragraph" w:styleId="1090">
    <w:name w:val="正文2"/>
    <w:basedOn w:val="920"/>
    <w:next w:val="1090"/>
    <w:link w:val="920"/>
    <w:qFormat/>
    <w:pPr>
      <w:ind w:firstLine="420"/>
      <w:jc w:val="left"/>
      <w:spacing w:line="360" w:lineRule="auto"/>
      <w:widowControl/>
    </w:pPr>
    <w:rPr>
      <w:rFonts w:eastAsia="宋体"/>
      <w:sz w:val="28"/>
    </w:rPr>
  </w:style>
  <w:style w:type="character" w:styleId="1091">
    <w:name w:val="Andy_正文 Char"/>
    <w:next w:val="1091"/>
    <w:link w:val="1092"/>
    <w:qFormat/>
    <w:rPr>
      <w:rFonts w:ascii="Calibri" w:hAnsi="Calibri" w:cs="Calibri"/>
      <w:sz w:val="24"/>
      <w:szCs w:val="24"/>
    </w:rPr>
  </w:style>
  <w:style w:type="paragraph" w:styleId="1092">
    <w:name w:val="Andy_正文"/>
    <w:basedOn w:val="920"/>
    <w:next w:val="1092"/>
    <w:link w:val="1091"/>
    <w:qFormat/>
    <w:pPr>
      <w:ind w:firstLine="480"/>
      <w:spacing w:line="360" w:lineRule="auto"/>
    </w:pPr>
    <w:rPr>
      <w:rFonts w:ascii="Calibri" w:hAnsi="Calibri" w:eastAsia="宋体" w:cs="Calibri"/>
      <w:sz w:val="24"/>
      <w:szCs w:val="24"/>
    </w:rPr>
  </w:style>
  <w:style w:type="paragraph" w:styleId="1093">
    <w:name w:val="列出段落2"/>
    <w:basedOn w:val="920"/>
    <w:next w:val="1093"/>
    <w:link w:val="920"/>
    <w:uiPriority w:val="99"/>
    <w:qFormat/>
    <w:pPr>
      <w:ind w:firstLine="420"/>
    </w:pPr>
    <w:rPr>
      <w:rFonts w:ascii="Calibri" w:hAnsi="Calibri" w:eastAsia="宋体"/>
      <w:sz w:val="21"/>
      <w:szCs w:val="22"/>
    </w:rPr>
  </w:style>
  <w:style w:type="paragraph" w:styleId="1094">
    <w:name w:val="表格文字"/>
    <w:next w:val="920"/>
    <w:link w:val="920"/>
    <w:qFormat/>
    <w:rPr>
      <w:sz w:val="21"/>
      <w:lang w:val="en-US" w:eastAsia="zh-CN" w:bidi="ar-SA"/>
    </w:rPr>
  </w:style>
  <w:style w:type="paragraph" w:styleId="1095">
    <w:name w:val="Char Char Char Char Char Char"/>
    <w:basedOn w:val="920"/>
    <w:next w:val="1095"/>
    <w:link w:val="920"/>
    <w:qFormat/>
    <w:pPr>
      <w:ind w:firstLine="200"/>
      <w:spacing w:line="360" w:lineRule="auto"/>
    </w:pPr>
    <w:rPr>
      <w:rFonts w:eastAsia="宋体"/>
      <w:sz w:val="21"/>
      <w:szCs w:val="24"/>
    </w:rPr>
  </w:style>
  <w:style w:type="character" w:styleId="1096">
    <w:name w:val="引用 Char"/>
    <w:next w:val="1096"/>
    <w:link w:val="1097"/>
    <w:qFormat/>
    <w:rPr>
      <w:rFonts w:ascii="Calibri" w:hAnsi="Calibri"/>
      <w:i/>
      <w:iCs/>
      <w:color w:val="000000"/>
    </w:rPr>
  </w:style>
  <w:style w:type="paragraph" w:styleId="1097">
    <w:name w:val="引用"/>
    <w:basedOn w:val="920"/>
    <w:next w:val="920"/>
    <w:link w:val="1096"/>
    <w:qFormat/>
    <w:rPr>
      <w:rFonts w:ascii="Calibri" w:hAnsi="Calibri" w:eastAsia="宋体" w:cs="Times New Roman"/>
      <w:i/>
      <w:iCs/>
      <w:color w:val="000000"/>
      <w:sz w:val="21"/>
      <w:szCs w:val="22"/>
    </w:rPr>
  </w:style>
  <w:style w:type="character" w:styleId="1098">
    <w:name w:val="引用 Char1"/>
    <w:next w:val="1098"/>
    <w:link w:val="920"/>
    <w:uiPriority w:val="29"/>
    <w:qFormat/>
    <w:rPr>
      <w:rFonts w:ascii="Times New Roman" w:hAnsi="Times New Roman" w:eastAsia="楷体_GB2312" w:cs="Times New Roman"/>
      <w:i/>
      <w:iCs/>
      <w:color w:val="000000"/>
      <w:sz w:val="26"/>
      <w:szCs w:val="20"/>
    </w:rPr>
  </w:style>
  <w:style w:type="character" w:styleId="1099">
    <w:name w:val="日期 Char1"/>
    <w:next w:val="1099"/>
    <w:link w:val="920"/>
    <w:qFormat/>
    <w:rPr>
      <w:sz w:val="21"/>
      <w:szCs w:val="24"/>
    </w:rPr>
  </w:style>
  <w:style w:type="character" w:styleId="1100">
    <w:name w:val="c lh15"/>
    <w:next w:val="1100"/>
    <w:link w:val="920"/>
    <w:qFormat/>
  </w:style>
  <w:style w:type="character" w:styleId="1101">
    <w:name w:val="副标题 Char1"/>
    <w:next w:val="1101"/>
    <w:link w:val="920"/>
    <w:uiPriority w:val="11"/>
    <w:qFormat/>
    <w:rPr>
      <w:rFonts w:ascii="Cambria" w:hAnsi="Cambria" w:cs="Times New Roman"/>
      <w:b/>
      <w:bCs/>
      <w:sz w:val="32"/>
      <w:szCs w:val="32"/>
    </w:rPr>
  </w:style>
  <w:style w:type="character" w:styleId="1102">
    <w:name w:val="批注主题 Char1"/>
    <w:next w:val="1102"/>
    <w:link w:val="920"/>
    <w:qFormat/>
    <w:rPr>
      <w:b/>
      <w:bCs/>
      <w:sz w:val="21"/>
      <w:szCs w:val="24"/>
    </w:rPr>
  </w:style>
  <w:style w:type="character" w:styleId="1103">
    <w:name w:val="明显引用 Char"/>
    <w:next w:val="1103"/>
    <w:link w:val="1104"/>
    <w:qFormat/>
    <w:rPr>
      <w:rFonts w:ascii="Calibri" w:hAnsi="Calibri"/>
      <w:b/>
      <w:bCs/>
      <w:i/>
      <w:iCs/>
      <w:color w:val="4f81bd"/>
    </w:rPr>
  </w:style>
  <w:style w:type="paragraph" w:styleId="1104">
    <w:name w:val="明显引用"/>
    <w:basedOn w:val="920"/>
    <w:next w:val="920"/>
    <w:link w:val="1103"/>
    <w:qFormat/>
    <w:pPr>
      <w:ind w:left="936" w:right="936"/>
      <w:spacing w:before="200" w:after="280"/>
      <w:pBdr>
        <w:bottom w:val="single" w:color="4F81BD" w:sz="4" w:space="4"/>
      </w:pBdr>
    </w:pPr>
    <w:rPr>
      <w:rFonts w:ascii="Calibri" w:hAnsi="Calibri" w:eastAsia="宋体" w:cs="Times New Roman"/>
      <w:b/>
      <w:bCs/>
      <w:i/>
      <w:iCs/>
      <w:color w:val="4f81bd"/>
      <w:sz w:val="21"/>
      <w:szCs w:val="22"/>
    </w:rPr>
  </w:style>
  <w:style w:type="character" w:styleId="1105">
    <w:name w:val="明显引用 Char1"/>
    <w:next w:val="1105"/>
    <w:link w:val="920"/>
    <w:uiPriority w:val="30"/>
    <w:qFormat/>
    <w:rPr>
      <w:rFonts w:ascii="Times New Roman" w:hAnsi="Times New Roman" w:eastAsia="楷体_GB2312" w:cs="Times New Roman"/>
      <w:b/>
      <w:bCs/>
      <w:i/>
      <w:iCs/>
      <w:color w:val="4f81bd"/>
      <w:sz w:val="26"/>
      <w:szCs w:val="20"/>
    </w:rPr>
  </w:style>
  <w:style w:type="character" w:styleId="1106">
    <w:name w:val="标题4 Char Char"/>
    <w:next w:val="1106"/>
    <w:link w:val="1107"/>
    <w:qFormat/>
    <w:rPr>
      <w:rFonts w:ascii="Arial" w:hAnsi="Arial" w:cs="Arial"/>
      <w:b/>
      <w:bCs/>
      <w:sz w:val="24"/>
      <w:szCs w:val="32"/>
    </w:rPr>
  </w:style>
  <w:style w:type="paragraph" w:styleId="1107">
    <w:name w:val="标题4"/>
    <w:basedOn w:val="922"/>
    <w:next w:val="966"/>
    <w:link w:val="1106"/>
    <w:qFormat/>
    <w:pPr>
      <w:jc w:val="both"/>
      <w:spacing w:before="260" w:after="260" w:line="412" w:lineRule="auto"/>
    </w:pPr>
    <w:rPr>
      <w:rFonts w:ascii="Arial" w:hAnsi="Arial" w:eastAsia="宋体" w:cs="Arial"/>
      <w:bCs/>
      <w:sz w:val="24"/>
      <w:szCs w:val="32"/>
    </w:rPr>
  </w:style>
  <w:style w:type="character" w:styleId="1108">
    <w:name w:val="标题5 Char Char"/>
    <w:next w:val="1108"/>
    <w:link w:val="1109"/>
    <w:qFormat/>
    <w:rPr>
      <w:rFonts w:ascii="Arial" w:hAnsi="Arial" w:cs="Arial"/>
      <w:b/>
      <w:bCs/>
      <w:sz w:val="24"/>
      <w:szCs w:val="32"/>
    </w:rPr>
  </w:style>
  <w:style w:type="paragraph" w:styleId="1109">
    <w:name w:val="标题5"/>
    <w:basedOn w:val="923"/>
    <w:next w:val="1109"/>
    <w:link w:val="1108"/>
    <w:qFormat/>
    <w:pPr>
      <w:jc w:val="both"/>
      <w:spacing w:before="260" w:after="260" w:line="412" w:lineRule="auto"/>
    </w:pPr>
    <w:rPr>
      <w:rFonts w:ascii="Arial" w:hAnsi="Arial" w:eastAsia="宋体" w:cs="Arial"/>
      <w:bCs/>
      <w:sz w:val="24"/>
      <w:szCs w:val="32"/>
    </w:rPr>
  </w:style>
  <w:style w:type="character" w:styleId="1110">
    <w:name w:val="标题 Char2"/>
    <w:next w:val="1110"/>
    <w:link w:val="920"/>
    <w:qFormat/>
    <w:rPr>
      <w:rFonts w:ascii="Cambria" w:hAnsi="Cambria" w:eastAsia="宋体" w:cs="Times New Roman"/>
      <w:b/>
      <w:bCs/>
      <w:sz w:val="32"/>
      <w:szCs w:val="32"/>
    </w:rPr>
  </w:style>
  <w:style w:type="character" w:styleId="1111">
    <w:name w:val="副标题 Char2"/>
    <w:next w:val="1111"/>
    <w:link w:val="920"/>
    <w:uiPriority w:val="11"/>
    <w:qFormat/>
    <w:rPr>
      <w:rFonts w:ascii="Cambria" w:hAnsi="Cambria" w:eastAsia="宋体" w:cs="Times New Roman"/>
      <w:b/>
      <w:bCs/>
      <w:sz w:val="32"/>
      <w:szCs w:val="32"/>
    </w:rPr>
  </w:style>
  <w:style w:type="paragraph" w:styleId="1112">
    <w:name w:val="Char1 Char Char Char"/>
    <w:basedOn w:val="920"/>
    <w:next w:val="1112"/>
    <w:link w:val="920"/>
    <w:qFormat/>
    <w:rPr>
      <w:rFonts w:ascii="Tahoma" w:hAnsi="Tahoma" w:eastAsia="宋体"/>
      <w:sz w:val="24"/>
    </w:rPr>
  </w:style>
  <w:style w:type="paragraph" w:styleId="1113">
    <w:name w:val="_Style 10"/>
    <w:basedOn w:val="920"/>
    <w:next w:val="1113"/>
    <w:link w:val="920"/>
    <w:qFormat/>
    <w:pPr>
      <w:ind w:left="420" w:hanging="420"/>
      <w:tabs>
        <w:tab w:val="left" w:pos="420" w:leader="none"/>
      </w:tabs>
    </w:pPr>
    <w:rPr>
      <w:rFonts w:eastAsia="宋体"/>
      <w:sz w:val="24"/>
      <w:szCs w:val="24"/>
    </w:rPr>
  </w:style>
  <w:style w:type="character" w:styleId="1114">
    <w:name w:val="引用 Char2"/>
    <w:next w:val="1114"/>
    <w:link w:val="920"/>
    <w:uiPriority w:val="29"/>
    <w:qFormat/>
    <w:rPr>
      <w:rFonts w:ascii="Calibri" w:hAnsi="Calibri" w:eastAsia="宋体" w:cs="Times New Roman"/>
      <w:i/>
      <w:iCs/>
      <w:color w:val="000000"/>
    </w:rPr>
  </w:style>
  <w:style w:type="paragraph" w:styleId="1115">
    <w:name w:val="Char Char Char Char"/>
    <w:basedOn w:val="951"/>
    <w:next w:val="1115"/>
    <w:link w:val="920"/>
    <w:qFormat/>
    <w:pPr>
      <w:spacing w:line="360" w:lineRule="auto"/>
    </w:pPr>
    <w:rPr>
      <w:rFonts w:ascii="Calibri" w:hAnsi="Calibri"/>
      <w:sz w:val="24"/>
    </w:rPr>
  </w:style>
  <w:style w:type="paragraph" w:styleId="1116">
    <w:name w:val="_Style 14"/>
    <w:basedOn w:val="920"/>
    <w:next w:val="1116"/>
    <w:link w:val="920"/>
    <w:qFormat/>
    <w:rPr>
      <w:rFonts w:eastAsia="宋体"/>
      <w:sz w:val="21"/>
      <w:szCs w:val="24"/>
    </w:rPr>
  </w:style>
  <w:style w:type="paragraph" w:styleId="1117">
    <w:name w:val="Char Char Char Char Char Char Char Char Char1 Char"/>
    <w:basedOn w:val="951"/>
    <w:next w:val="1117"/>
    <w:link w:val="920"/>
    <w:qFormat/>
    <w:pPr>
      <w:spacing w:line="360" w:lineRule="auto"/>
    </w:pPr>
    <w:rPr>
      <w:rFonts w:ascii="Tahoma" w:hAnsi="Tahoma"/>
      <w:sz w:val="24"/>
      <w:szCs w:val="24"/>
    </w:rPr>
  </w:style>
  <w:style w:type="character" w:styleId="1118">
    <w:name w:val="明显引用 Char2"/>
    <w:next w:val="1118"/>
    <w:link w:val="920"/>
    <w:uiPriority w:val="30"/>
    <w:qFormat/>
    <w:rPr>
      <w:rFonts w:ascii="Calibri" w:hAnsi="Calibri" w:eastAsia="宋体" w:cs="Times New Roman"/>
      <w:b/>
      <w:bCs/>
      <w:i/>
      <w:iCs/>
      <w:color w:val="4f81bd"/>
    </w:rPr>
  </w:style>
  <w:style w:type="paragraph" w:styleId="1119">
    <w:name w:val="纯文本21"/>
    <w:basedOn w:val="920"/>
    <w:next w:val="1119"/>
    <w:link w:val="920"/>
    <w:qFormat/>
    <w:rPr>
      <w:rFonts w:ascii="宋体" w:hAnsi="Courier New"/>
      <w:sz w:val="28"/>
    </w:rPr>
  </w:style>
  <w:style w:type="paragraph" w:styleId="1120">
    <w:name w:val="Char Char Char1"/>
    <w:basedOn w:val="920"/>
    <w:next w:val="1120"/>
    <w:link w:val="920"/>
    <w:qFormat/>
    <w:pPr>
      <w:ind w:left="840" w:hanging="360"/>
      <w:tabs>
        <w:tab w:val="left" w:pos="360" w:leader="none"/>
        <w:tab w:val="left" w:pos="840" w:leader="none"/>
      </w:tabs>
    </w:pPr>
    <w:rPr>
      <w:rFonts w:eastAsia="宋体"/>
      <w:sz w:val="21"/>
      <w:szCs w:val="24"/>
    </w:rPr>
  </w:style>
  <w:style w:type="paragraph" w:styleId="1121">
    <w:name w:val="Char Char Char Char Char Char Char Char Char1 Char Char Char Char"/>
    <w:basedOn w:val="951"/>
    <w:next w:val="1121"/>
    <w:link w:val="920"/>
    <w:qFormat/>
    <w:pPr>
      <w:spacing w:line="360" w:lineRule="auto"/>
    </w:pPr>
    <w:rPr>
      <w:rFonts w:ascii="Calibri" w:hAnsi="Calibri" w:eastAsia="楷体_GB2312"/>
      <w:sz w:val="26"/>
    </w:rPr>
  </w:style>
  <w:style w:type="paragraph" w:styleId="1122">
    <w:name w:val="默认段落字体 Para Char Char Char Char Char Char Char Char Char1 Char Char Char Char"/>
    <w:basedOn w:val="920"/>
    <w:next w:val="1122"/>
    <w:link w:val="920"/>
    <w:qFormat/>
    <w:rPr>
      <w:rFonts w:eastAsia="宋体"/>
      <w:sz w:val="21"/>
    </w:rPr>
  </w:style>
  <w:style w:type="paragraph" w:styleId="1123">
    <w:name w:val="列出段落"/>
    <w:basedOn w:val="920"/>
    <w:next w:val="1123"/>
    <w:link w:val="920"/>
    <w:uiPriority w:val="34"/>
    <w:qFormat/>
    <w:pPr>
      <w:ind w:firstLine="420"/>
    </w:pPr>
  </w:style>
  <w:style w:type="paragraph" w:styleId="1124">
    <w:name w:val="xl91"/>
    <w:basedOn w:val="921"/>
    <w:next w:val="1125"/>
    <w:link w:val="920"/>
    <w:qFormat/>
    <w:pPr>
      <w:ind w:firstLine="3584"/>
      <w:spacing w:before="280" w:after="280" w:line="240" w:lineRule="auto"/>
    </w:pPr>
  </w:style>
  <w:style w:type="paragraph" w:styleId="1125">
    <w:name w:val="xl76"/>
    <w:basedOn w:val="921"/>
    <w:next w:val="1001"/>
    <w:link w:val="920"/>
    <w:qFormat/>
    <w:pPr>
      <w:ind w:firstLine="3584"/>
      <w:jc w:val="center"/>
      <w:spacing w:before="280" w:after="280" w:line="240" w:lineRule="auto"/>
    </w:pPr>
  </w:style>
  <w:style w:type="character" w:styleId="1126">
    <w:name w:val="正文缩进 Char2"/>
    <w:next w:val="1126"/>
    <w:link w:val="920"/>
    <w:qFormat/>
    <w:rPr>
      <w:rFonts w:eastAsia="楷体_GB2312"/>
      <w:sz w:val="24"/>
    </w:rPr>
  </w:style>
  <w:style w:type="character" w:styleId="1127">
    <w:name w:val="正文1"/>
    <w:next w:val="1127"/>
    <w:link w:val="920"/>
    <w:qFormat/>
  </w:style>
  <w:style w:type="character" w:styleId="1128">
    <w:name w:val="正文文本缩进 Char3"/>
    <w:next w:val="1128"/>
    <w:link w:val="920"/>
    <w:qFormat/>
    <w:rPr>
      <w:rFonts w:eastAsia="方正书宋简体"/>
      <w:sz w:val="24"/>
    </w:rPr>
  </w:style>
  <w:style w:type="character" w:styleId="1129">
    <w:name w:val="CITE"/>
    <w:next w:val="1129"/>
    <w:link w:val="920"/>
    <w:qFormat/>
    <w:rPr>
      <w:i/>
    </w:rPr>
  </w:style>
  <w:style w:type="character" w:styleId="1130">
    <w:name w:val="Heading 4 Char"/>
    <w:next w:val="1130"/>
    <w:link w:val="920"/>
    <w:qFormat/>
    <w:rPr>
      <w:rFonts w:ascii="Arial" w:hAnsi="Arial" w:eastAsia="宋体"/>
      <w:b/>
      <w:bCs/>
      <w:sz w:val="21"/>
      <w:szCs w:val="28"/>
      <w:lang w:val="en-US" w:eastAsia="zh-CN" w:bidi="ar-SA"/>
    </w:rPr>
  </w:style>
  <w:style w:type="character" w:styleId="1131">
    <w:name w:val="Char Char9"/>
    <w:next w:val="1131"/>
    <w:link w:val="920"/>
    <w:qFormat/>
    <w:rPr>
      <w:rFonts w:eastAsia="宋体"/>
      <w:b/>
      <w:bCs/>
      <w:sz w:val="32"/>
      <w:szCs w:val="44"/>
      <w:lang w:val="en-US" w:eastAsia="zh-CN" w:bidi="ar-SA"/>
    </w:rPr>
  </w:style>
  <w:style w:type="character" w:styleId="1132">
    <w:name w:val="Footer Char"/>
    <w:next w:val="1132"/>
    <w:link w:val="920"/>
    <w:qFormat/>
    <w:rPr>
      <w:rFonts w:eastAsia="宋体"/>
      <w:sz w:val="18"/>
      <w:szCs w:val="18"/>
      <w:lang w:val="en-US" w:eastAsia="zh-CN" w:bidi="ar-SA"/>
    </w:rPr>
  </w:style>
  <w:style w:type="character" w:styleId="1133">
    <w:name w:val="Char Char4"/>
    <w:next w:val="1133"/>
    <w:link w:val="920"/>
    <w:qFormat/>
    <w:rPr>
      <w:rFonts w:ascii="宋体" w:hAnsi="宋体" w:eastAsia="黑体" w:cs="Arial"/>
      <w:b/>
      <w:sz w:val="28"/>
      <w:szCs w:val="32"/>
      <w:lang w:val="en-US" w:eastAsia="zh-CN" w:bidi="ar-SA"/>
    </w:rPr>
  </w:style>
  <w:style w:type="character" w:styleId="1134">
    <w:name w:val="Heading 2 Char"/>
    <w:next w:val="1134"/>
    <w:link w:val="920"/>
    <w:qFormat/>
    <w:rPr>
      <w:rFonts w:ascii="Arial" w:hAnsi="Arial" w:eastAsia="黑体"/>
      <w:b/>
      <w:bCs/>
      <w:sz w:val="32"/>
      <w:szCs w:val="32"/>
      <w:lang w:val="en-US" w:eastAsia="zh-CN" w:bidi="ar-SA"/>
    </w:rPr>
  </w:style>
  <w:style w:type="character" w:styleId="1135">
    <w:name w:val="Body Text Indent Char"/>
    <w:next w:val="1135"/>
    <w:link w:val="920"/>
    <w:qFormat/>
    <w:rPr>
      <w:rFonts w:ascii="宋体" w:hAnsi="宋体" w:eastAsia="宋体"/>
      <w:sz w:val="21"/>
      <w:lang w:val="en-US" w:eastAsia="zh-CN" w:bidi="ar-SA"/>
    </w:rPr>
  </w:style>
  <w:style w:type="character" w:styleId="1136">
    <w:name w:val="批注文字 Char Char"/>
    <w:next w:val="1136"/>
    <w:link w:val="920"/>
    <w:qFormat/>
    <w:rPr>
      <w:rFonts w:ascii="宋体" w:hAnsi="Times New Roman" w:eastAsia="宋体" w:cs="Times New Roman"/>
      <w:sz w:val="28"/>
      <w:szCs w:val="20"/>
    </w:rPr>
  </w:style>
  <w:style w:type="character" w:styleId="1137">
    <w:name w:val="Body Text Indent 2 Char"/>
    <w:next w:val="1137"/>
    <w:link w:val="920"/>
    <w:qFormat/>
    <w:rPr>
      <w:rFonts w:eastAsia="宋体"/>
      <w:sz w:val="21"/>
      <w:szCs w:val="24"/>
      <w:lang w:val="en-US" w:eastAsia="zh-CN" w:bidi="ar-SA"/>
    </w:rPr>
  </w:style>
  <w:style w:type="character" w:styleId="1138">
    <w:name w:val="textcontents"/>
    <w:next w:val="1138"/>
    <w:link w:val="920"/>
    <w:qFormat/>
    <w:rPr>
      <w:rFonts w:cs="Times New Roman"/>
    </w:rPr>
  </w:style>
  <w:style w:type="character" w:styleId="1139">
    <w:name w:val="Char Char24"/>
    <w:next w:val="1139"/>
    <w:link w:val="920"/>
    <w:qFormat/>
    <w:rPr>
      <w:rFonts w:eastAsia="宋体"/>
      <w:b/>
      <w:bCs/>
      <w:sz w:val="32"/>
      <w:szCs w:val="44"/>
      <w:lang w:val="en-US" w:eastAsia="zh-CN" w:bidi="ar-SA"/>
    </w:rPr>
  </w:style>
  <w:style w:type="character" w:styleId="1140">
    <w:name w:val="正文11"/>
    <w:next w:val="1140"/>
    <w:link w:val="920"/>
    <w:qFormat/>
  </w:style>
  <w:style w:type="character" w:styleId="1141">
    <w:name w:val="Date Char"/>
    <w:next w:val="1141"/>
    <w:link w:val="920"/>
    <w:qFormat/>
    <w:rPr>
      <w:rFonts w:eastAsia="宋体"/>
      <w:sz w:val="21"/>
      <w:szCs w:val="24"/>
      <w:lang w:val="en-US" w:eastAsia="zh-CN" w:bidi="ar-SA"/>
    </w:rPr>
  </w:style>
  <w:style w:type="character" w:styleId="1142">
    <w:name w:val="Char Char91"/>
    <w:next w:val="1142"/>
    <w:link w:val="920"/>
    <w:qFormat/>
    <w:rPr>
      <w:rFonts w:eastAsia="宋体"/>
      <w:b/>
      <w:bCs/>
      <w:sz w:val="32"/>
      <w:szCs w:val="44"/>
      <w:lang w:val="en-US" w:eastAsia="zh-CN" w:bidi="ar-SA"/>
    </w:rPr>
  </w:style>
  <w:style w:type="character" w:styleId="1143">
    <w:name w:val="Char Char181"/>
    <w:next w:val="1143"/>
    <w:link w:val="920"/>
    <w:qFormat/>
    <w:rPr>
      <w:b/>
      <w:bCs/>
      <w:sz w:val="44"/>
      <w:szCs w:val="44"/>
    </w:rPr>
  </w:style>
  <w:style w:type="character" w:styleId="1144">
    <w:name w:val="标题 Char_0"/>
    <w:next w:val="1144"/>
    <w:link w:val="1145"/>
    <w:qFormat/>
    <w:rPr>
      <w:rFonts w:ascii="黑体" w:hAnsi="Arial" w:eastAsia="黑体"/>
      <w:b/>
      <w:bCs/>
      <w:sz w:val="32"/>
      <w:szCs w:val="32"/>
    </w:rPr>
  </w:style>
  <w:style w:type="paragraph" w:styleId="1145">
    <w:name w:val="标题_0"/>
    <w:basedOn w:val="1146"/>
    <w:next w:val="1145"/>
    <w:link w:val="1144"/>
    <w:qFormat/>
    <w:pPr>
      <w:jc w:val="center"/>
      <w:spacing w:before="120" w:after="120" w:line="360" w:lineRule="auto"/>
      <w:outlineLvl w:val="0"/>
    </w:pPr>
    <w:rPr>
      <w:rFonts w:ascii="黑体" w:hAnsi="Arial" w:eastAsia="黑体"/>
      <w:b/>
      <w:bCs/>
      <w:sz w:val="32"/>
      <w:szCs w:val="32"/>
    </w:rPr>
  </w:style>
  <w:style w:type="paragraph" w:styleId="1146">
    <w:name w:val="正文_1"/>
    <w:next w:val="1024"/>
    <w:link w:val="920"/>
    <w:qFormat/>
    <w:rPr>
      <w:sz w:val="21"/>
      <w:szCs w:val="22"/>
      <w:lang w:val="en-US" w:eastAsia="zh-CN" w:bidi="ar-SA"/>
    </w:rPr>
  </w:style>
  <w:style w:type="character" w:styleId="1147">
    <w:name w:val="批注文字 Char3"/>
    <w:next w:val="1147"/>
    <w:link w:val="920"/>
    <w:qFormat/>
    <w:rPr>
      <w:sz w:val="21"/>
      <w:szCs w:val="24"/>
    </w:rPr>
  </w:style>
  <w:style w:type="character" w:styleId="1148">
    <w:name w:val="不明显参考1"/>
    <w:next w:val="1148"/>
    <w:link w:val="920"/>
    <w:qFormat/>
    <w:rPr>
      <w:smallCaps/>
      <w:color w:val="c0504d"/>
      <w:u w:val="single"/>
    </w:rPr>
  </w:style>
  <w:style w:type="character" w:styleId="1149">
    <w:name w:val="Char Char26"/>
    <w:next w:val="1149"/>
    <w:link w:val="920"/>
    <w:qFormat/>
    <w:rPr>
      <w:rFonts w:ascii="宋体" w:hAnsi="Arial" w:eastAsia="宋体" w:cs="Arial"/>
      <w:b/>
      <w:sz w:val="24"/>
      <w:szCs w:val="44"/>
      <w:lang w:val="en-US" w:eastAsia="zh-CN" w:bidi="ar-SA"/>
    </w:rPr>
  </w:style>
  <w:style w:type="character" w:styleId="1150">
    <w:name w:val="书籍标题1"/>
    <w:next w:val="1150"/>
    <w:link w:val="920"/>
    <w:qFormat/>
    <w:rPr>
      <w:b/>
      <w:bCs/>
      <w:smallCaps/>
      <w:spacing w:val="5"/>
    </w:rPr>
  </w:style>
  <w:style w:type="character" w:styleId="1151">
    <w:name w:val="明显强调1"/>
    <w:next w:val="1151"/>
    <w:link w:val="920"/>
    <w:qFormat/>
    <w:rPr>
      <w:b/>
      <w:bCs/>
      <w:i/>
      <w:iCs/>
      <w:color w:val="4f81bd"/>
    </w:rPr>
  </w:style>
  <w:style w:type="character" w:styleId="1152">
    <w:name w:val="Heading 5 Char"/>
    <w:next w:val="1152"/>
    <w:link w:val="920"/>
    <w:qFormat/>
    <w:rPr>
      <w:rFonts w:eastAsia="宋体"/>
      <w:b/>
      <w:bCs/>
      <w:sz w:val="28"/>
      <w:szCs w:val="28"/>
      <w:lang w:val="en-US" w:eastAsia="zh-CN" w:bidi="ar-SA"/>
    </w:rPr>
  </w:style>
  <w:style w:type="character" w:styleId="1153">
    <w:name w:val="Sample"/>
    <w:next w:val="1153"/>
    <w:link w:val="920"/>
    <w:qFormat/>
    <w:rPr>
      <w:rFonts w:ascii="Courier New" w:hAnsi="Courier New"/>
    </w:rPr>
  </w:style>
  <w:style w:type="character" w:styleId="1154">
    <w:name w:val="Comment"/>
    <w:next w:val="1154"/>
    <w:link w:val="920"/>
    <w:qFormat/>
    <w:rPr>
      <w:vanish/>
    </w:rPr>
  </w:style>
  <w:style w:type="character" w:styleId="1155">
    <w:name w:val="样式 Char"/>
    <w:next w:val="1155"/>
    <w:link w:val="1156"/>
    <w:qFormat/>
    <w:rPr>
      <w:rFonts w:ascii="宋体" w:hAnsi="宋体" w:cs="宋体"/>
      <w:sz w:val="24"/>
      <w:szCs w:val="24"/>
    </w:rPr>
  </w:style>
  <w:style w:type="paragraph" w:styleId="1156">
    <w:name w:val="样式"/>
    <w:next w:val="1156"/>
    <w:link w:val="1155"/>
    <w:qFormat/>
    <w:pPr>
      <w:widowControl w:val="off"/>
    </w:pPr>
    <w:rPr>
      <w:rFonts w:ascii="宋体" w:hAnsi="宋体" w:cs="宋体"/>
      <w:sz w:val="24"/>
      <w:szCs w:val="24"/>
      <w:lang w:val="en-US" w:eastAsia="zh-CN" w:bidi="ar-SA"/>
    </w:rPr>
  </w:style>
  <w:style w:type="character" w:styleId="1157">
    <w:name w:val="content1"/>
    <w:next w:val="1157"/>
    <w:link w:val="920"/>
    <w:qFormat/>
    <w:rPr>
      <w:rFonts w:ascii="Tahoma" w:hAnsi="Tahoma" w:cs="Tahoma"/>
      <w:sz w:val="21"/>
      <w:szCs w:val="21"/>
    </w:rPr>
  </w:style>
  <w:style w:type="character" w:styleId="1158">
    <w:name w:val="明显参考1"/>
    <w:next w:val="1158"/>
    <w:link w:val="920"/>
    <w:qFormat/>
    <w:rPr>
      <w:b/>
      <w:bCs/>
      <w:smallCaps/>
      <w:color w:val="c0504d"/>
      <w:spacing w:val="5"/>
      <w:u w:val="single"/>
    </w:rPr>
  </w:style>
  <w:style w:type="character" w:styleId="1159">
    <w:name w:val="标题 Char_1"/>
    <w:next w:val="1159"/>
    <w:link w:val="1160"/>
    <w:qFormat/>
    <w:rPr>
      <w:rFonts w:ascii="Cambria" w:hAnsi="Cambria"/>
      <w:b/>
      <w:bCs/>
      <w:sz w:val="32"/>
      <w:szCs w:val="32"/>
    </w:rPr>
  </w:style>
  <w:style w:type="paragraph" w:styleId="1160">
    <w:name w:val="标题_1"/>
    <w:basedOn w:val="1161"/>
    <w:next w:val="1161"/>
    <w:link w:val="1159"/>
    <w:qFormat/>
    <w:pPr>
      <w:jc w:val="center"/>
      <w:spacing w:before="240" w:after="60"/>
      <w:outlineLvl w:val="0"/>
    </w:pPr>
    <w:rPr>
      <w:rFonts w:ascii="Cambria" w:hAnsi="Cambria"/>
      <w:b/>
      <w:bCs/>
      <w:sz w:val="32"/>
      <w:szCs w:val="32"/>
    </w:rPr>
  </w:style>
  <w:style w:type="paragraph" w:styleId="1161">
    <w:name w:val="正文_2"/>
    <w:next w:val="1161"/>
    <w:link w:val="920"/>
    <w:qFormat/>
    <w:pPr>
      <w:jc w:val="both"/>
      <w:widowControl w:val="off"/>
    </w:pPr>
    <w:rPr>
      <w:rFonts w:ascii="Calibri" w:hAnsi="Calibri"/>
      <w:sz w:val="21"/>
      <w:szCs w:val="22"/>
      <w:lang w:val="en-US" w:eastAsia="zh-CN" w:bidi="ar-SA"/>
    </w:rPr>
  </w:style>
  <w:style w:type="character" w:styleId="1162">
    <w:name w:val="Balloon Text Char"/>
    <w:next w:val="1162"/>
    <w:link w:val="920"/>
    <w:qFormat/>
    <w:rPr>
      <w:sz w:val="18"/>
      <w:lang w:bidi="ar-SA"/>
    </w:rPr>
  </w:style>
  <w:style w:type="character" w:styleId="1163">
    <w:name w:val="HTML Markup"/>
    <w:next w:val="1163"/>
    <w:link w:val="920"/>
    <w:qFormat/>
    <w:rPr>
      <w:vanish/>
      <w:color w:val="ff0000"/>
    </w:rPr>
  </w:style>
  <w:style w:type="character" w:styleId="1164">
    <w:name w:val="标题 2 Char1"/>
    <w:next w:val="1164"/>
    <w:link w:val="920"/>
    <w:qFormat/>
    <w:rPr>
      <w:rFonts w:ascii="Arial" w:hAnsi="Arial" w:eastAsia="黑体" w:cs="Calibri"/>
      <w:b/>
      <w:sz w:val="32"/>
      <w:szCs w:val="20"/>
    </w:rPr>
  </w:style>
  <w:style w:type="character" w:styleId="1165">
    <w:name w:val="Char Char18"/>
    <w:next w:val="1165"/>
    <w:link w:val="920"/>
    <w:qFormat/>
    <w:rPr>
      <w:rFonts w:ascii="Times New Roman" w:hAnsi="Times New Roman" w:eastAsia="宋体" w:cs="Times New Roman"/>
      <w:b/>
      <w:bCs/>
      <w:sz w:val="28"/>
      <w:szCs w:val="28"/>
    </w:rPr>
  </w:style>
  <w:style w:type="character" w:styleId="1166">
    <w:name w:val="Variable"/>
    <w:next w:val="1166"/>
    <w:link w:val="920"/>
    <w:qFormat/>
    <w:rPr>
      <w:i/>
    </w:rPr>
  </w:style>
  <w:style w:type="character" w:styleId="1167">
    <w:name w:val="Typewriter"/>
    <w:next w:val="1167"/>
    <w:link w:val="920"/>
    <w:qFormat/>
    <w:rPr>
      <w:rFonts w:ascii="Courier New" w:hAnsi="Courier New"/>
      <w:sz w:val="20"/>
    </w:rPr>
  </w:style>
  <w:style w:type="character" w:styleId="1168">
    <w:name w:val="超链接_0"/>
    <w:next w:val="1168"/>
    <w:link w:val="920"/>
    <w:uiPriority w:val="99"/>
    <w:qFormat/>
    <w:rPr>
      <w:rFonts w:ascii="Calibri" w:hAnsi="Calibri" w:cs="Times New Roman"/>
      <w:color w:val="0000ff"/>
      <w:u w:val="single"/>
    </w:rPr>
  </w:style>
  <w:style w:type="character" w:styleId="1169">
    <w:name w:val="Char Char3"/>
    <w:next w:val="1169"/>
    <w:link w:val="920"/>
    <w:qFormat/>
    <w:rPr>
      <w:rFonts w:ascii="黑体" w:hAnsi="宋体" w:eastAsia="黑体" w:cs="Arial"/>
      <w:b/>
      <w:bCs/>
      <w:sz w:val="24"/>
      <w:szCs w:val="24"/>
      <w:lang w:val="en-US" w:eastAsia="zh-CN" w:bidi="ar-SA"/>
    </w:rPr>
  </w:style>
  <w:style w:type="character" w:styleId="1170">
    <w:name w:val="标题 2 Char_1"/>
    <w:next w:val="1170"/>
    <w:link w:val="1171"/>
    <w:qFormat/>
    <w:rPr>
      <w:rFonts w:ascii="黑体" w:hAnsi="宋体" w:eastAsia="黑体"/>
      <w:b/>
      <w:bCs/>
      <w:sz w:val="30"/>
      <w:szCs w:val="30"/>
    </w:rPr>
  </w:style>
  <w:style w:type="paragraph" w:styleId="1171">
    <w:name w:val="标题 2_1"/>
    <w:basedOn w:val="1160"/>
    <w:next w:val="1161"/>
    <w:link w:val="1170"/>
    <w:unhideWhenUsed/>
    <w:qFormat/>
    <w:pPr>
      <w:keepLines/>
      <w:keepNext/>
      <w:spacing w:before="120" w:after="120" w:line="360" w:lineRule="auto"/>
      <w:outlineLvl w:val="1"/>
    </w:pPr>
    <w:rPr>
      <w:rFonts w:ascii="黑体" w:hAnsi="宋体" w:eastAsia="黑体"/>
      <w:sz w:val="30"/>
      <w:szCs w:val="30"/>
    </w:rPr>
  </w:style>
  <w:style w:type="character" w:styleId="1172">
    <w:name w:val="脚注文本 Char1"/>
    <w:next w:val="1172"/>
    <w:link w:val="920"/>
    <w:qFormat/>
    <w:rPr>
      <w:sz w:val="18"/>
      <w:szCs w:val="18"/>
    </w:rPr>
  </w:style>
  <w:style w:type="character" w:styleId="1173">
    <w:name w:val="Comment Text Char1"/>
    <w:next w:val="1173"/>
    <w:link w:val="920"/>
    <w:qFormat/>
    <w:rPr>
      <w:sz w:val="24"/>
      <w:lang w:bidi="ar-SA"/>
    </w:rPr>
  </w:style>
  <w:style w:type="character" w:styleId="1174">
    <w:name w:val="不明显强调1"/>
    <w:next w:val="1174"/>
    <w:link w:val="920"/>
    <w:qFormat/>
    <w:rPr>
      <w:i/>
      <w:iCs/>
      <w:color w:val="808080"/>
    </w:rPr>
  </w:style>
  <w:style w:type="character" w:styleId="1175">
    <w:name w:val="正文文本 Char2"/>
    <w:next w:val="1175"/>
    <w:link w:val="920"/>
    <w:qFormat/>
    <w:rPr>
      <w:sz w:val="21"/>
      <w:szCs w:val="24"/>
    </w:rPr>
  </w:style>
  <w:style w:type="character" w:styleId="1176">
    <w:name w:val="Comment Text Char"/>
    <w:next w:val="1176"/>
    <w:link w:val="920"/>
    <w:qFormat/>
    <w:rPr>
      <w:rFonts w:cs="Times New Roman"/>
      <w:sz w:val="24"/>
      <w:szCs w:val="24"/>
    </w:rPr>
  </w:style>
  <w:style w:type="character" w:styleId="1177">
    <w:name w:val="批注框文本 Char1"/>
    <w:next w:val="1177"/>
    <w:link w:val="920"/>
    <w:qFormat/>
    <w:rPr>
      <w:rFonts w:ascii="Times New Roman" w:hAnsi="Times New Roman" w:eastAsia="宋体" w:cs="Times New Roman"/>
      <w:sz w:val="18"/>
      <w:szCs w:val="18"/>
    </w:rPr>
  </w:style>
  <w:style w:type="character" w:styleId="1178">
    <w:name w:val="Char Char21"/>
    <w:next w:val="1178"/>
    <w:link w:val="920"/>
    <w:qFormat/>
    <w:rPr>
      <w:rFonts w:ascii="Arial" w:hAnsi="Arial" w:eastAsia="黑体" w:cs="Times New Roman"/>
      <w:b/>
      <w:bCs/>
      <w:sz w:val="32"/>
      <w:szCs w:val="32"/>
    </w:rPr>
  </w:style>
  <w:style w:type="character" w:styleId="1179">
    <w:name w:val="CODE"/>
    <w:next w:val="1179"/>
    <w:link w:val="920"/>
    <w:qFormat/>
    <w:rPr>
      <w:rFonts w:ascii="Courier New" w:hAnsi="Courier New"/>
      <w:sz w:val="20"/>
    </w:rPr>
  </w:style>
  <w:style w:type="character" w:styleId="1180">
    <w:name w:val="纯文本 Char2"/>
    <w:next w:val="1180"/>
    <w:link w:val="920"/>
    <w:qFormat/>
    <w:rPr>
      <w:rFonts w:ascii="宋体" w:hAnsi="Courier New" w:cs="Courier New"/>
      <w:sz w:val="21"/>
      <w:szCs w:val="21"/>
    </w:rPr>
  </w:style>
  <w:style w:type="character" w:styleId="1181">
    <w:name w:val="Footnote Text Char"/>
    <w:next w:val="1181"/>
    <w:link w:val="920"/>
    <w:qFormat/>
    <w:rPr>
      <w:rFonts w:eastAsia="宋体"/>
      <w:sz w:val="18"/>
      <w:lang w:val="en-US" w:eastAsia="zh-CN" w:bidi="ar-SA"/>
    </w:rPr>
  </w:style>
  <w:style w:type="character" w:styleId="1182">
    <w:name w:val="样式 标题 3 + (中文) 黑体 小四 非加粗 段前: 7.8 磅 段后: 0 磅 行距: 固定值 20 磅 Char"/>
    <w:next w:val="1182"/>
    <w:link w:val="920"/>
    <w:qFormat/>
    <w:rPr>
      <w:rFonts w:ascii="黑体" w:hAnsi="宋体" w:eastAsia="黑体" w:cs="宋体"/>
      <w:b/>
      <w:bCs/>
      <w:sz w:val="24"/>
      <w:lang w:val="en-US" w:eastAsia="zh-CN" w:bidi="ar-SA"/>
    </w:rPr>
  </w:style>
  <w:style w:type="character" w:styleId="1183">
    <w:name w:val="Char Char1"/>
    <w:next w:val="1183"/>
    <w:link w:val="920"/>
    <w:qFormat/>
    <w:rPr>
      <w:rFonts w:ascii="黑体" w:hAnsi="Arial" w:eastAsia="黑体" w:cs="Arial"/>
      <w:b/>
      <w:bCs/>
      <w:sz w:val="32"/>
      <w:szCs w:val="32"/>
      <w:lang w:val="en-US" w:eastAsia="zh-CN" w:bidi="ar-SA"/>
    </w:rPr>
  </w:style>
  <w:style w:type="character" w:styleId="1184">
    <w:name w:val="Heading 3 Char"/>
    <w:next w:val="1184"/>
    <w:link w:val="920"/>
    <w:qFormat/>
    <w:rPr>
      <w:rFonts w:cs="Times New Roman"/>
      <w:b/>
      <w:bCs/>
      <w:sz w:val="32"/>
      <w:szCs w:val="32"/>
    </w:rPr>
  </w:style>
  <w:style w:type="character" w:styleId="1185">
    <w:name w:val="Char Char22"/>
    <w:next w:val="1185"/>
    <w:link w:val="920"/>
    <w:qFormat/>
    <w:rPr>
      <w:rFonts w:ascii="Times New Roman" w:hAnsi="Times New Roman" w:eastAsia="宋体" w:cs="Times New Roman"/>
      <w:b/>
      <w:bCs/>
      <w:sz w:val="32"/>
      <w:szCs w:val="44"/>
    </w:rPr>
  </w:style>
  <w:style w:type="character" w:styleId="1186">
    <w:name w:val="Heading 1 Char"/>
    <w:next w:val="1186"/>
    <w:link w:val="920"/>
    <w:qFormat/>
    <w:rPr>
      <w:rFonts w:eastAsia="宋体"/>
      <w:b/>
      <w:bCs/>
      <w:sz w:val="32"/>
      <w:szCs w:val="44"/>
      <w:lang w:val="en-US" w:eastAsia="zh-CN" w:bidi="ar-SA"/>
    </w:rPr>
  </w:style>
  <w:style w:type="character" w:styleId="1187">
    <w:name w:val="正文缩进 Char1"/>
    <w:next w:val="1187"/>
    <w:link w:val="920"/>
    <w:qFormat/>
    <w:rPr>
      <w:rFonts w:eastAsia="楷体_GB2312"/>
      <w:sz w:val="24"/>
    </w:rPr>
  </w:style>
  <w:style w:type="character" w:styleId="1188">
    <w:name w:val="Document Map Char"/>
    <w:next w:val="1188"/>
    <w:link w:val="920"/>
    <w:qFormat/>
    <w:rPr>
      <w:rFonts w:eastAsia="宋体"/>
      <w:sz w:val="21"/>
      <w:szCs w:val="24"/>
      <w:lang w:val="en-US" w:eastAsia="zh-CN" w:bidi="ar-SA"/>
    </w:rPr>
  </w:style>
  <w:style w:type="character" w:styleId="1189">
    <w:name w:val="批注主题 Char2"/>
    <w:next w:val="1189"/>
    <w:link w:val="920"/>
    <w:qFormat/>
    <w:rPr>
      <w:b/>
      <w:bCs/>
      <w:szCs w:val="24"/>
    </w:rPr>
  </w:style>
  <w:style w:type="character" w:styleId="1190">
    <w:name w:val="Char Char6"/>
    <w:next w:val="1190"/>
    <w:link w:val="920"/>
    <w:qFormat/>
    <w:rPr>
      <w:rFonts w:eastAsia="宋体"/>
      <w:b/>
      <w:bCs/>
      <w:sz w:val="32"/>
      <w:szCs w:val="44"/>
      <w:lang w:val="en-US" w:eastAsia="zh-CN" w:bidi="ar-SA"/>
    </w:rPr>
  </w:style>
  <w:style w:type="character" w:styleId="1191">
    <w:name w:val="Char Char19"/>
    <w:next w:val="1191"/>
    <w:link w:val="920"/>
    <w:qFormat/>
    <w:rPr>
      <w:rFonts w:ascii="Arial" w:hAnsi="Arial" w:eastAsia="宋体" w:cs="Times New Roman"/>
      <w:b/>
      <w:bCs/>
      <w:szCs w:val="28"/>
    </w:rPr>
  </w:style>
  <w:style w:type="character" w:styleId="1192">
    <w:name w:val="Plain Text Char"/>
    <w:next w:val="1192"/>
    <w:link w:val="920"/>
    <w:qFormat/>
    <w:rPr>
      <w:rFonts w:ascii="宋体" w:hAnsi="Courier New" w:eastAsia="宋体"/>
      <w:sz w:val="24"/>
      <w:lang w:bidi="ar-SA"/>
    </w:rPr>
  </w:style>
  <w:style w:type="character" w:styleId="1193">
    <w:name w:val="无间隔 Char"/>
    <w:next w:val="1193"/>
    <w:link w:val="1194"/>
    <w:qFormat/>
    <w:rPr>
      <w:szCs w:val="24"/>
    </w:rPr>
  </w:style>
  <w:style w:type="paragraph" w:styleId="1194">
    <w:name w:val="无间隔"/>
    <w:next w:val="1194"/>
    <w:link w:val="1193"/>
    <w:qFormat/>
    <w:pPr>
      <w:jc w:val="both"/>
      <w:widowControl w:val="off"/>
    </w:pPr>
    <w:rPr>
      <w:szCs w:val="24"/>
      <w:lang w:val="en-US" w:eastAsia="zh-CN" w:bidi="ar-SA"/>
    </w:rPr>
  </w:style>
  <w:style w:type="character" w:styleId="1195">
    <w:name w:val="标题 Char3"/>
    <w:next w:val="1195"/>
    <w:link w:val="920"/>
    <w:qFormat/>
    <w:rPr>
      <w:rFonts w:ascii="Cambria" w:hAnsi="Cambria" w:cs="Times New Roman"/>
      <w:b/>
      <w:bCs/>
      <w:sz w:val="32"/>
      <w:szCs w:val="32"/>
    </w:rPr>
  </w:style>
  <w:style w:type="character" w:styleId="1196">
    <w:name w:val="批注文字 Char2"/>
    <w:next w:val="1196"/>
    <w:link w:val="920"/>
    <w:qFormat/>
    <w:rPr>
      <w:rFonts w:eastAsia="宋体"/>
      <w:sz w:val="21"/>
      <w:szCs w:val="24"/>
      <w:lang w:val="en-US" w:eastAsia="zh-CN" w:bidi="ar-SA"/>
    </w:rPr>
  </w:style>
  <w:style w:type="character" w:styleId="1197">
    <w:name w:val="正文文本 3 Char1"/>
    <w:next w:val="1197"/>
    <w:link w:val="920"/>
    <w:uiPriority w:val="99"/>
    <w:qFormat/>
    <w:rPr>
      <w:rFonts w:eastAsia="楷体_GB2312"/>
      <w:sz w:val="16"/>
      <w:szCs w:val="16"/>
    </w:rPr>
  </w:style>
  <w:style w:type="character" w:styleId="1198">
    <w:name w:val="Char Char23"/>
    <w:next w:val="1198"/>
    <w:link w:val="920"/>
    <w:qFormat/>
    <w:rPr>
      <w:rFonts w:eastAsia="宋体"/>
      <w:b/>
      <w:bCs/>
      <w:sz w:val="32"/>
      <w:szCs w:val="44"/>
      <w:lang w:val="en-US" w:eastAsia="zh-CN" w:bidi="ar-SA"/>
    </w:rPr>
  </w:style>
  <w:style w:type="character" w:styleId="1199">
    <w:name w:val="标题 1 Char1"/>
    <w:next w:val="1199"/>
    <w:link w:val="920"/>
    <w:qFormat/>
    <w:rPr>
      <w:rFonts w:ascii="Calibri" w:hAnsi="Calibri" w:eastAsia="宋体" w:cs="Arial"/>
      <w:b/>
      <w:sz w:val="44"/>
      <w:szCs w:val="20"/>
    </w:rPr>
  </w:style>
  <w:style w:type="character" w:styleId="1200">
    <w:name w:val="文档结构图 Char1"/>
    <w:next w:val="1200"/>
    <w:link w:val="920"/>
    <w:qFormat/>
    <w:rPr>
      <w:rFonts w:ascii="宋体"/>
      <w:sz w:val="18"/>
      <w:szCs w:val="18"/>
    </w:rPr>
  </w:style>
  <w:style w:type="character" w:styleId="1201">
    <w:name w:val="正文首行缩进 2 Char1"/>
    <w:next w:val="1201"/>
    <w:link w:val="920"/>
    <w:uiPriority w:val="99"/>
    <w:qFormat/>
    <w:rPr>
      <w:rFonts w:ascii="方正仿宋简体" w:hAnsi="创艺简仿宋" w:eastAsia="楷体_GB2312"/>
      <w:sz w:val="26"/>
    </w:rPr>
  </w:style>
  <w:style w:type="character" w:styleId="1202">
    <w:name w:val="Comment Subject Char"/>
    <w:next w:val="1202"/>
    <w:link w:val="920"/>
    <w:qFormat/>
    <w:rPr>
      <w:b/>
      <w:sz w:val="24"/>
      <w:lang w:bidi="ar-SA"/>
    </w:rPr>
  </w:style>
  <w:style w:type="character" w:styleId="1203">
    <w:name w:val="Definition"/>
    <w:next w:val="1203"/>
    <w:link w:val="920"/>
    <w:qFormat/>
    <w:rPr>
      <w:i/>
    </w:rPr>
  </w:style>
  <w:style w:type="character" w:styleId="1204">
    <w:name w:val="Title Char"/>
    <w:next w:val="1204"/>
    <w:link w:val="920"/>
    <w:qFormat/>
    <w:rPr>
      <w:rFonts w:ascii="Cambria" w:hAnsi="Cambria"/>
      <w:b/>
      <w:sz w:val="32"/>
      <w:lang w:bidi="ar-SA"/>
    </w:rPr>
  </w:style>
  <w:style w:type="character" w:styleId="1205">
    <w:name w:val="标题 2 Char_0"/>
    <w:next w:val="1205"/>
    <w:link w:val="1206"/>
    <w:qFormat/>
    <w:rPr>
      <w:rFonts w:ascii="Calibri" w:hAnsi="Calibri"/>
    </w:rPr>
  </w:style>
  <w:style w:type="paragraph" w:styleId="1206">
    <w:name w:val="标题 2_0"/>
    <w:basedOn w:val="920"/>
    <w:next w:val="1206"/>
    <w:link w:val="1205"/>
    <w:qFormat/>
    <w:rPr>
      <w:rFonts w:ascii="Calibri" w:hAnsi="Calibri" w:eastAsia="宋体"/>
      <w:sz w:val="20"/>
    </w:rPr>
  </w:style>
  <w:style w:type="character" w:styleId="1207">
    <w:name w:val="Header Char"/>
    <w:next w:val="1207"/>
    <w:link w:val="920"/>
    <w:qFormat/>
    <w:rPr>
      <w:rFonts w:eastAsia="宋体"/>
      <w:sz w:val="18"/>
      <w:szCs w:val="18"/>
      <w:lang w:val="en-US" w:eastAsia="zh-CN" w:bidi="ar-SA"/>
    </w:rPr>
  </w:style>
  <w:style w:type="character" w:styleId="1208">
    <w:name w:val="Keyboard"/>
    <w:next w:val="1208"/>
    <w:link w:val="920"/>
    <w:qFormat/>
    <w:rPr>
      <w:rFonts w:ascii="Courier New" w:hAnsi="Courier New"/>
      <w:b/>
      <w:sz w:val="20"/>
    </w:rPr>
  </w:style>
  <w:style w:type="character" w:styleId="1209">
    <w:name w:val="标题 3 Char1"/>
    <w:next w:val="1209"/>
    <w:link w:val="920"/>
    <w:qFormat/>
    <w:rPr>
      <w:rFonts w:ascii="Calibri" w:hAnsi="Calibri" w:eastAsia="宋体" w:cs="Arial"/>
      <w:b/>
      <w:sz w:val="32"/>
      <w:szCs w:val="20"/>
    </w:rPr>
  </w:style>
  <w:style w:type="character" w:styleId="1210">
    <w:name w:val="Heading 3 Char1"/>
    <w:next w:val="1210"/>
    <w:link w:val="920"/>
    <w:qFormat/>
    <w:rPr>
      <w:rFonts w:eastAsia="宋体"/>
      <w:b/>
      <w:bCs/>
      <w:sz w:val="24"/>
      <w:szCs w:val="32"/>
      <w:lang w:val="en-US" w:eastAsia="zh-CN" w:bidi="ar-SA"/>
    </w:rPr>
  </w:style>
  <w:style w:type="paragraph" w:styleId="1211">
    <w:name w:val="正文_0"/>
    <w:next w:val="1211"/>
    <w:link w:val="920"/>
    <w:qFormat/>
    <w:pPr>
      <w:jc w:val="both"/>
      <w:widowControl w:val="off"/>
    </w:pPr>
    <w:rPr>
      <w:rFonts w:ascii="Calibri" w:hAnsi="Calibri"/>
      <w:sz w:val="21"/>
      <w:szCs w:val="22"/>
      <w:lang w:val="en-US" w:eastAsia="zh-CN" w:bidi="ar-SA"/>
    </w:rPr>
  </w:style>
  <w:style w:type="character" w:styleId="1212">
    <w:name w:val="正文文本 Char3"/>
    <w:next w:val="1212"/>
    <w:link w:val="920"/>
    <w:uiPriority w:val="99"/>
    <w:qFormat/>
    <w:rPr>
      <w:sz w:val="21"/>
      <w:szCs w:val="24"/>
    </w:rPr>
  </w:style>
  <w:style w:type="character" w:styleId="1213">
    <w:name w:val="批注文字 Char4"/>
    <w:next w:val="1213"/>
    <w:link w:val="920"/>
    <w:uiPriority w:val="99"/>
    <w:semiHidden/>
    <w:qFormat/>
    <w:rPr>
      <w:rFonts w:ascii="Times New Roman" w:hAnsi="Times New Roman" w:eastAsia="宋体" w:cs="Times New Roman"/>
      <w:szCs w:val="24"/>
    </w:rPr>
  </w:style>
  <w:style w:type="character" w:styleId="1214">
    <w:name w:val="标题 Char4"/>
    <w:next w:val="1214"/>
    <w:link w:val="920"/>
    <w:uiPriority w:val="10"/>
    <w:qFormat/>
    <w:rPr>
      <w:rFonts w:ascii="Cambria" w:hAnsi="Cambria" w:cs="Times New Roman"/>
      <w:b/>
      <w:bCs/>
      <w:sz w:val="32"/>
      <w:szCs w:val="32"/>
    </w:rPr>
  </w:style>
  <w:style w:type="character" w:styleId="1215">
    <w:name w:val="文档结构图 Char2"/>
    <w:next w:val="1215"/>
    <w:link w:val="920"/>
    <w:uiPriority w:val="99"/>
    <w:qFormat/>
    <w:rPr>
      <w:rFonts w:ascii="宋体"/>
      <w:sz w:val="18"/>
      <w:szCs w:val="18"/>
    </w:rPr>
  </w:style>
  <w:style w:type="character" w:styleId="1216">
    <w:name w:val="脚注文本 Char2"/>
    <w:next w:val="1216"/>
    <w:link w:val="920"/>
    <w:uiPriority w:val="99"/>
    <w:qFormat/>
    <w:rPr>
      <w:sz w:val="18"/>
      <w:szCs w:val="18"/>
    </w:rPr>
  </w:style>
  <w:style w:type="paragraph" w:styleId="1217">
    <w:name w:val="z-Top of Form"/>
    <w:next w:val="920"/>
    <w:link w:val="920"/>
    <w:qFormat/>
    <w:pPr>
      <w:jc w:val="center"/>
      <w:widowControl w:val="off"/>
      <w:pBdr>
        <w:bottom w:val="single" w:color="000000" w:sz="2" w:space="0"/>
      </w:pBdr>
    </w:pPr>
    <w:rPr>
      <w:rFonts w:ascii="Arial" w:hAnsi="Arial"/>
      <w:vanish/>
      <w:sz w:val="16"/>
      <w:lang w:val="en-US" w:eastAsia="zh-CN" w:bidi="ar-SA"/>
    </w:rPr>
  </w:style>
  <w:style w:type="paragraph" w:styleId="1218">
    <w:name w:val="样式1"/>
    <w:basedOn w:val="920"/>
    <w:next w:val="924"/>
    <w:link w:val="920"/>
    <w:qFormat/>
    <w:pPr>
      <w:ind w:firstLine="420"/>
      <w:spacing w:line="360" w:lineRule="auto"/>
    </w:pPr>
    <w:rPr>
      <w:rFonts w:ascii="宋体" w:hAnsi="宋体" w:eastAsia="宋体"/>
      <w:sz w:val="21"/>
      <w:szCs w:val="21"/>
    </w:rPr>
  </w:style>
  <w:style w:type="paragraph" w:styleId="1219">
    <w:name w:val="TOC 标题_0"/>
    <w:basedOn w:val="1220"/>
    <w:next w:val="1211"/>
    <w:link w:val="920"/>
    <w:qFormat/>
    <w:pPr>
      <w:outlineLvl w:val="9"/>
    </w:pPr>
    <w:rPr>
      <w:rFonts w:ascii="Calibri" w:hAnsi="Calibri"/>
    </w:rPr>
  </w:style>
  <w:style w:type="paragraph" w:styleId="1220">
    <w:name w:val="标题 1_0"/>
    <w:basedOn w:val="1211"/>
    <w:next w:val="1221"/>
    <w:link w:val="920"/>
    <w:qFormat/>
    <w:pPr>
      <w:keepLines/>
      <w:keepNext/>
      <w:spacing w:before="340" w:after="330" w:line="576" w:lineRule="auto"/>
      <w:outlineLvl w:val="0"/>
    </w:pPr>
    <w:rPr>
      <w:rFonts w:ascii="Times New Roman" w:hAnsi="Times New Roman"/>
      <w:b/>
      <w:bCs/>
      <w:sz w:val="44"/>
      <w:szCs w:val="44"/>
    </w:rPr>
  </w:style>
  <w:style w:type="paragraph" w:styleId="1221">
    <w:name w:val="正文_1_0_0"/>
    <w:next w:val="1221"/>
    <w:link w:val="920"/>
    <w:uiPriority w:val="99"/>
    <w:qFormat/>
    <w:pPr>
      <w:jc w:val="both"/>
      <w:widowControl w:val="off"/>
    </w:pPr>
    <w:rPr>
      <w:sz w:val="21"/>
      <w:szCs w:val="22"/>
      <w:lang w:val="en-US" w:eastAsia="zh-CN" w:bidi="ar-SA"/>
    </w:rPr>
  </w:style>
  <w:style w:type="paragraph" w:styleId="1222">
    <w:name w:val="样式 标题 3 + (中文) 黑体 小四 非加粗 段前: 7.8 磅 段后: 0 磅 行距: 固定值 20 磅"/>
    <w:basedOn w:val="923"/>
    <w:next w:val="1222"/>
    <w:link w:val="920"/>
    <w:qFormat/>
    <w:pPr>
      <w:jc w:val="both"/>
      <w:spacing w:line="400" w:lineRule="exact"/>
    </w:pPr>
    <w:rPr>
      <w:rFonts w:eastAsia="黑体" w:cs="宋体"/>
      <w:b w:val="0"/>
      <w:sz w:val="21"/>
    </w:rPr>
  </w:style>
  <w:style w:type="character" w:styleId="1223">
    <w:name w:val="正文文本 2 Char1"/>
    <w:next w:val="1223"/>
    <w:link w:val="920"/>
    <w:uiPriority w:val="99"/>
    <w:qFormat/>
    <w:rPr>
      <w:sz w:val="21"/>
      <w:szCs w:val="24"/>
    </w:rPr>
  </w:style>
  <w:style w:type="paragraph" w:styleId="1224">
    <w:name w:val="Blockquote"/>
    <w:basedOn w:val="920"/>
    <w:next w:val="1224"/>
    <w:link w:val="920"/>
    <w:qFormat/>
    <w:pPr>
      <w:ind w:left="360" w:right="360"/>
      <w:jc w:val="left"/>
      <w:spacing w:before="100" w:after="100"/>
    </w:pPr>
    <w:rPr>
      <w:rFonts w:ascii="Calibri" w:hAnsi="Calibri" w:eastAsia="宋体"/>
      <w:sz w:val="24"/>
    </w:rPr>
  </w:style>
  <w:style w:type="paragraph" w:styleId="1225">
    <w:name w:val="标题 3_0"/>
    <w:basedOn w:val="1211"/>
    <w:next w:val="1211"/>
    <w:link w:val="920"/>
    <w:qFormat/>
    <w:pPr>
      <w:keepLines/>
      <w:keepNext/>
      <w:spacing w:before="260" w:after="260" w:line="413" w:lineRule="auto"/>
      <w:outlineLvl w:val="2"/>
    </w:pPr>
    <w:rPr>
      <w:rFonts w:ascii="Times New Roman" w:hAnsi="Times New Roman"/>
      <w:b/>
      <w:bCs/>
      <w:sz w:val="32"/>
      <w:szCs w:val="32"/>
    </w:rPr>
  </w:style>
  <w:style w:type="paragraph" w:styleId="1226">
    <w:name w:val="表格"/>
    <w:basedOn w:val="920"/>
    <w:next w:val="1226"/>
    <w:link w:val="920"/>
    <w:qFormat/>
    <w:pPr>
      <w:jc w:val="center"/>
    </w:pPr>
    <w:rPr>
      <w:rFonts w:ascii="华文细黑" w:hAnsi="华文细黑" w:eastAsia="宋体"/>
      <w:sz w:val="21"/>
    </w:rPr>
  </w:style>
  <w:style w:type="character" w:styleId="1227">
    <w:name w:val="明显引用 Char3"/>
    <w:next w:val="1227"/>
    <w:link w:val="920"/>
    <w:uiPriority w:val="30"/>
    <w:qFormat/>
    <w:rPr>
      <w:b/>
      <w:bCs/>
      <w:i/>
      <w:iCs/>
      <w:color w:val="4f81bd"/>
      <w:sz w:val="21"/>
      <w:szCs w:val="24"/>
    </w:rPr>
  </w:style>
  <w:style w:type="paragraph" w:styleId="1228">
    <w:name w:val="Definition List"/>
    <w:basedOn w:val="920"/>
    <w:next w:val="1229"/>
    <w:link w:val="920"/>
    <w:qFormat/>
    <w:pPr>
      <w:ind w:left="360"/>
      <w:jc w:val="left"/>
    </w:pPr>
    <w:rPr>
      <w:rFonts w:ascii="Calibri" w:hAnsi="Calibri" w:eastAsia="宋体"/>
      <w:sz w:val="24"/>
    </w:rPr>
  </w:style>
  <w:style w:type="paragraph" w:styleId="1229">
    <w:name w:val="Definition Term"/>
    <w:basedOn w:val="920"/>
    <w:next w:val="1228"/>
    <w:link w:val="920"/>
    <w:qFormat/>
    <w:pPr>
      <w:jc w:val="left"/>
    </w:pPr>
    <w:rPr>
      <w:rFonts w:ascii="Calibri" w:hAnsi="Calibri" w:eastAsia="宋体"/>
      <w:sz w:val="24"/>
    </w:rPr>
  </w:style>
  <w:style w:type="paragraph" w:styleId="1230">
    <w:name w:val="st4.5"/>
    <w:next w:val="1230"/>
    <w:link w:val="920"/>
    <w:uiPriority w:val="99"/>
    <w:qFormat/>
    <w:pPr>
      <w:ind w:firstLine="426"/>
      <w:jc w:val="both"/>
      <w:spacing w:line="360" w:lineRule="auto"/>
      <w:widowControl w:val="off"/>
    </w:pPr>
    <w:rPr>
      <w:rFonts w:ascii="仿宋_GB2312" w:eastAsia="仿宋_GB2312" w:cs="仿宋_GB2312"/>
      <w:sz w:val="28"/>
      <w:szCs w:val="28"/>
      <w:lang w:val="en-US" w:eastAsia="zh-CN" w:bidi="ar-SA"/>
    </w:rPr>
  </w:style>
  <w:style w:type="paragraph" w:styleId="1231">
    <w:name w:val="1"/>
    <w:basedOn w:val="920"/>
    <w:next w:val="920"/>
    <w:link w:val="920"/>
    <w:qFormat/>
    <w:rPr>
      <w:rFonts w:eastAsia="宋体"/>
      <w:sz w:val="21"/>
      <w:szCs w:val="24"/>
    </w:rPr>
  </w:style>
  <w:style w:type="paragraph" w:styleId="1232">
    <w:name w:val="样式 (西文) 仿宋_GB2312 居中 行距: 1.5 倍行距"/>
    <w:basedOn w:val="920"/>
    <w:next w:val="1232"/>
    <w:link w:val="920"/>
    <w:qFormat/>
    <w:pPr>
      <w:jc w:val="center"/>
      <w:spacing w:line="360" w:lineRule="auto"/>
    </w:pPr>
    <w:rPr>
      <w:rFonts w:ascii="宋体" w:hAnsi="宋体" w:eastAsia="宋体" w:cs="宋体"/>
      <w:sz w:val="21"/>
    </w:rPr>
  </w:style>
  <w:style w:type="paragraph" w:styleId="1233">
    <w:name w:val="正文缩进_0"/>
    <w:basedOn w:val="1146"/>
    <w:next w:val="1233"/>
    <w:link w:val="920"/>
    <w:qFormat/>
    <w:pPr>
      <w:ind w:firstLine="420"/>
      <w:jc w:val="both"/>
      <w:widowControl w:val="off"/>
    </w:pPr>
    <w:rPr>
      <w:u w:val="single"/>
    </w:rPr>
  </w:style>
  <w:style w:type="paragraph" w:styleId="1234">
    <w:name w:val="标题 4_0"/>
    <w:basedOn w:val="1221"/>
    <w:next w:val="1221"/>
    <w:link w:val="920"/>
    <w:qFormat/>
    <w:pPr>
      <w:keepLines/>
      <w:keepNext/>
      <w:spacing w:before="280" w:after="290" w:line="372" w:lineRule="auto"/>
      <w:outlineLvl w:val="3"/>
    </w:pPr>
    <w:rPr>
      <w:rFonts w:ascii="Cambria" w:hAnsi="Cambria"/>
      <w:b/>
      <w:bCs/>
      <w:sz w:val="28"/>
      <w:szCs w:val="28"/>
    </w:rPr>
  </w:style>
  <w:style w:type="paragraph" w:styleId="1235">
    <w:name w:val="H2"/>
    <w:basedOn w:val="920"/>
    <w:next w:val="920"/>
    <w:link w:val="920"/>
    <w:qFormat/>
    <w:pPr>
      <w:jc w:val="left"/>
      <w:keepNext/>
      <w:spacing w:before="100" w:after="100"/>
      <w:outlineLvl w:val="2"/>
    </w:pPr>
    <w:rPr>
      <w:rFonts w:ascii="Calibri" w:hAnsi="Calibri" w:eastAsia="宋体"/>
      <w:b/>
      <w:sz w:val="36"/>
    </w:rPr>
  </w:style>
  <w:style w:type="paragraph" w:styleId="1236">
    <w:name w:val="flNote"/>
    <w:basedOn w:val="920"/>
    <w:next w:val="1236"/>
    <w:link w:val="920"/>
    <w:qFormat/>
    <w:pPr>
      <w:jc w:val="center"/>
      <w:spacing w:before="320" w:after="160" w:line="360" w:lineRule="atLeast"/>
    </w:pPr>
    <w:rPr>
      <w:rFonts w:ascii="Arial" w:eastAsia="黑体"/>
      <w:sz w:val="30"/>
    </w:rPr>
  </w:style>
  <w:style w:type="paragraph" w:styleId="1237">
    <w:name w:val="修订1"/>
    <w:next w:val="1237"/>
    <w:link w:val="920"/>
    <w:qFormat/>
    <w:rPr>
      <w:sz w:val="21"/>
      <w:szCs w:val="24"/>
      <w:lang w:val="en-US" w:eastAsia="zh-CN" w:bidi="ar-SA"/>
    </w:rPr>
  </w:style>
  <w:style w:type="paragraph" w:styleId="1238">
    <w:name w:val="H6"/>
    <w:basedOn w:val="920"/>
    <w:next w:val="920"/>
    <w:link w:val="920"/>
    <w:qFormat/>
    <w:pPr>
      <w:jc w:val="left"/>
      <w:keepNext/>
      <w:spacing w:before="100" w:after="100"/>
      <w:outlineLvl w:val="6"/>
    </w:pPr>
    <w:rPr>
      <w:rFonts w:ascii="Calibri" w:hAnsi="Calibri" w:eastAsia="宋体"/>
      <w:b/>
      <w:sz w:val="16"/>
    </w:rPr>
  </w:style>
  <w:style w:type="paragraph" w:styleId="1239">
    <w:name w:val="无间隔1"/>
    <w:next w:val="1239"/>
    <w:link w:val="920"/>
    <w:qFormat/>
    <w:pPr>
      <w:jc w:val="both"/>
      <w:widowControl w:val="off"/>
    </w:pPr>
    <w:rPr>
      <w:sz w:val="21"/>
      <w:szCs w:val="24"/>
      <w:lang w:val="en-US" w:eastAsia="zh-CN" w:bidi="ar-SA"/>
    </w:rPr>
  </w:style>
  <w:style w:type="paragraph" w:styleId="1240">
    <w:name w:val="reader-word-layer"/>
    <w:basedOn w:val="920"/>
    <w:next w:val="1240"/>
    <w:link w:val="920"/>
    <w:qFormat/>
    <w:pPr>
      <w:jc w:val="left"/>
      <w:spacing w:before="100" w:beforeAutospacing="1" w:after="100" w:afterAutospacing="1"/>
      <w:widowControl/>
    </w:pPr>
    <w:rPr>
      <w:rFonts w:ascii="宋体" w:hAnsi="宋体" w:eastAsia="宋体" w:cs="宋体"/>
      <w:sz w:val="24"/>
      <w:szCs w:val="24"/>
    </w:rPr>
  </w:style>
  <w:style w:type="paragraph" w:styleId="1241">
    <w:name w:val="TOC 标题1"/>
    <w:basedOn w:val="921"/>
    <w:next w:val="920"/>
    <w:link w:val="920"/>
    <w:qFormat/>
    <w:pPr>
      <w:spacing w:line="576" w:lineRule="auto"/>
      <w:outlineLvl w:val="9"/>
    </w:pPr>
    <w:rPr>
      <w:rFonts w:ascii="Calibri" w:hAnsi="Calibri" w:eastAsia="黑体"/>
      <w:bCs/>
      <w:szCs w:val="44"/>
    </w:rPr>
  </w:style>
  <w:style w:type="paragraph" w:styleId="1242">
    <w:name w:val="正文文本_0"/>
    <w:basedOn w:val="1211"/>
    <w:next w:val="1242"/>
    <w:link w:val="920"/>
    <w:qFormat/>
    <w:pPr>
      <w:ind w:left="72" w:right="30"/>
      <w:jc w:val="center"/>
      <w:spacing w:after="60" w:line="360" w:lineRule="atLeast"/>
    </w:pPr>
    <w:rPr>
      <w:rFonts w:ascii="Times New Roman" w:hAnsi="Times New Roman"/>
      <w:sz w:val="20"/>
      <w:szCs w:val="20"/>
    </w:rPr>
  </w:style>
  <w:style w:type="paragraph" w:styleId="1243">
    <w:name w:val="Char Char Char Char Char Char Char"/>
    <w:basedOn w:val="920"/>
    <w:next w:val="1243"/>
    <w:link w:val="920"/>
    <w:qFormat/>
    <w:pPr>
      <w:jc w:val="left"/>
      <w:spacing w:after="160" w:line="240" w:lineRule="exact"/>
      <w:widowControl/>
    </w:pPr>
    <w:rPr>
      <w:rFonts w:eastAsia="宋体"/>
      <w:sz w:val="21"/>
      <w:szCs w:val="24"/>
    </w:rPr>
  </w:style>
  <w:style w:type="paragraph" w:styleId="1244">
    <w:name w:val="_Style 37"/>
    <w:basedOn w:val="920"/>
    <w:next w:val="920"/>
    <w:link w:val="920"/>
    <w:qFormat/>
    <w:rPr>
      <w:rFonts w:eastAsia="宋体"/>
      <w:sz w:val="21"/>
      <w:szCs w:val="24"/>
    </w:rPr>
  </w:style>
  <w:style w:type="paragraph" w:styleId="1245">
    <w:name w:val="样式 标题 2 + Times New Roman 四号 非加粗 段前: 5 磅 段后: 0 磅 行距: 固定值 20..."/>
    <w:basedOn w:val="922"/>
    <w:next w:val="1245"/>
    <w:link w:val="920"/>
    <w:qFormat/>
    <w:pPr>
      <w:jc w:val="both"/>
      <w:spacing w:before="100" w:line="400" w:lineRule="exact"/>
    </w:pPr>
    <w:rPr>
      <w:rFonts w:ascii="Times New Roman" w:hAnsi="Times New Roman" w:eastAsia="黑体" w:cs="宋体"/>
      <w:b w:val="0"/>
      <w:sz w:val="28"/>
    </w:rPr>
  </w:style>
  <w:style w:type="paragraph" w:styleId="1246">
    <w:name w:val="H3"/>
    <w:basedOn w:val="920"/>
    <w:next w:val="920"/>
    <w:link w:val="920"/>
    <w:qFormat/>
    <w:pPr>
      <w:jc w:val="left"/>
      <w:keepNext/>
      <w:spacing w:before="100" w:after="100"/>
      <w:outlineLvl w:val="3"/>
    </w:pPr>
    <w:rPr>
      <w:rFonts w:ascii="Calibri" w:hAnsi="Calibri" w:eastAsia="宋体"/>
      <w:b/>
      <w:sz w:val="28"/>
    </w:rPr>
  </w:style>
  <w:style w:type="paragraph" w:styleId="1247">
    <w:name w:val="2-2ji"/>
    <w:basedOn w:val="922"/>
    <w:next w:val="1247"/>
    <w:link w:val="920"/>
    <w:qFormat/>
    <w:pPr>
      <w:jc w:val="center"/>
      <w:spacing w:line="360" w:lineRule="auto"/>
    </w:pPr>
    <w:rPr>
      <w:rFonts w:eastAsia="宋体"/>
      <w:bCs/>
      <w:sz w:val="36"/>
      <w:szCs w:val="24"/>
    </w:rPr>
  </w:style>
  <w:style w:type="paragraph" w:styleId="1248">
    <w:name w:val="空半行"/>
    <w:basedOn w:val="920"/>
    <w:next w:val="1248"/>
    <w:link w:val="920"/>
    <w:qFormat/>
    <w:pPr>
      <w:spacing w:line="120" w:lineRule="exact"/>
    </w:pPr>
    <w:rPr>
      <w:rFonts w:eastAsia="仿宋_GB2312"/>
      <w:color w:val="ffffff"/>
      <w:sz w:val="30"/>
    </w:rPr>
  </w:style>
  <w:style w:type="paragraph" w:styleId="1249">
    <w:name w:val="正文_3"/>
    <w:next w:val="1249"/>
    <w:link w:val="920"/>
    <w:qFormat/>
    <w:pPr>
      <w:jc w:val="both"/>
      <w:widowControl w:val="off"/>
    </w:pPr>
    <w:rPr>
      <w:rFonts w:ascii="Calibri" w:hAnsi="Calibri"/>
      <w:sz w:val="21"/>
      <w:szCs w:val="22"/>
      <w:lang w:val="en-US" w:eastAsia="zh-CN" w:bidi="ar-SA"/>
    </w:rPr>
  </w:style>
  <w:style w:type="paragraph" w:styleId="1250">
    <w:name w:val="样式 标题 1 + 黑体 三号 非加粗 居中 段前: 6 磅 段后: 6 磅 行距: 固定值 20 磅"/>
    <w:basedOn w:val="921"/>
    <w:next w:val="1250"/>
    <w:link w:val="920"/>
    <w:qFormat/>
    <w:pPr>
      <w:spacing w:line="400" w:lineRule="exact"/>
    </w:pPr>
    <w:rPr>
      <w:rFonts w:hAnsi="黑体" w:eastAsia="宋体" w:cs="宋体"/>
      <w:b w:val="0"/>
      <w:bCs/>
      <w:sz w:val="32"/>
    </w:rPr>
  </w:style>
  <w:style w:type="paragraph" w:styleId="1251">
    <w:name w:val="默认段落字体 Para Char Char Char Char Char Char Char"/>
    <w:basedOn w:val="920"/>
    <w:next w:val="1251"/>
    <w:link w:val="920"/>
    <w:qFormat/>
    <w:rPr>
      <w:rFonts w:ascii="Tahoma" w:hAnsi="Tahoma" w:eastAsia="宋体"/>
      <w:sz w:val="24"/>
    </w:rPr>
  </w:style>
  <w:style w:type="paragraph" w:styleId="1252">
    <w:name w:val="H1"/>
    <w:basedOn w:val="920"/>
    <w:next w:val="920"/>
    <w:link w:val="920"/>
    <w:qFormat/>
    <w:pPr>
      <w:jc w:val="left"/>
      <w:keepNext/>
      <w:spacing w:before="100" w:after="100"/>
      <w:outlineLvl w:val="1"/>
    </w:pPr>
    <w:rPr>
      <w:rFonts w:ascii="Calibri" w:hAnsi="Calibri" w:eastAsia="宋体"/>
      <w:b/>
      <w:sz w:val="48"/>
    </w:rPr>
  </w:style>
  <w:style w:type="paragraph" w:styleId="1253">
    <w:name w:val="H4"/>
    <w:basedOn w:val="920"/>
    <w:next w:val="920"/>
    <w:link w:val="920"/>
    <w:qFormat/>
    <w:pPr>
      <w:jc w:val="left"/>
      <w:keepNext/>
      <w:spacing w:before="100" w:after="100"/>
      <w:outlineLvl w:val="4"/>
    </w:pPr>
    <w:rPr>
      <w:rFonts w:ascii="Calibri" w:hAnsi="Calibri" w:eastAsia="宋体"/>
      <w:b/>
      <w:sz w:val="24"/>
    </w:rPr>
  </w:style>
  <w:style w:type="paragraph" w:styleId="1254">
    <w:name w:val="H5"/>
    <w:basedOn w:val="920"/>
    <w:next w:val="920"/>
    <w:link w:val="920"/>
    <w:qFormat/>
    <w:pPr>
      <w:jc w:val="left"/>
      <w:keepNext/>
      <w:spacing w:before="100" w:after="100"/>
      <w:outlineLvl w:val="5"/>
    </w:pPr>
    <w:rPr>
      <w:rFonts w:ascii="Calibri" w:hAnsi="Calibri" w:eastAsia="宋体"/>
      <w:b/>
      <w:sz w:val="20"/>
    </w:rPr>
  </w:style>
  <w:style w:type="paragraph" w:styleId="1255">
    <w:name w:val="Address"/>
    <w:basedOn w:val="920"/>
    <w:next w:val="920"/>
    <w:link w:val="920"/>
    <w:qFormat/>
    <w:pPr>
      <w:jc w:val="left"/>
    </w:pPr>
    <w:rPr>
      <w:rFonts w:ascii="Calibri" w:hAnsi="Calibri" w:eastAsia="宋体"/>
      <w:i/>
      <w:sz w:val="24"/>
    </w:rPr>
  </w:style>
  <w:style w:type="paragraph" w:styleId="1256">
    <w:name w:val="Preformatted"/>
    <w:basedOn w:val="920"/>
    <w:next w:val="1256"/>
    <w:link w:val="92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rPr>
  </w:style>
  <w:style w:type="paragraph" w:styleId="1257">
    <w:name w:val="z-Bottom of Form"/>
    <w:next w:val="920"/>
    <w:link w:val="920"/>
    <w:qFormat/>
    <w:pPr>
      <w:jc w:val="center"/>
      <w:widowControl w:val="off"/>
      <w:pBdr>
        <w:top w:val="single" w:color="000000" w:sz="2" w:space="0"/>
      </w:pBdr>
    </w:pPr>
    <w:rPr>
      <w:rFonts w:ascii="Arial" w:hAnsi="Arial"/>
      <w:vanish/>
      <w:sz w:val="16"/>
      <w:lang w:val="en-US" w:eastAsia="zh-CN" w:bidi="ar-SA"/>
    </w:rPr>
  </w:style>
  <w:style w:type="paragraph" w:styleId="1258">
    <w:name w:val="_Style 325"/>
    <w:next w:val="1258"/>
    <w:link w:val="920"/>
    <w:uiPriority w:val="99"/>
    <w:unhideWhenUsed/>
    <w:qFormat/>
    <w:pPr>
      <w:jc w:val="both"/>
      <w:widowControl w:val="off"/>
    </w:pPr>
    <w:rPr>
      <w:rFonts w:eastAsia="楷体_GB2312"/>
      <w:sz w:val="26"/>
      <w:lang w:val="en-US" w:eastAsia="zh-CN" w:bidi="ar-SA"/>
    </w:rPr>
  </w:style>
  <w:style w:type="paragraph" w:styleId="1259">
    <w:name w:val="正文(其它)"/>
    <w:basedOn w:val="920"/>
    <w:next w:val="1259"/>
    <w:link w:val="920"/>
    <w:qFormat/>
    <w:pPr>
      <w:jc w:val="center"/>
      <w:spacing w:line="312" w:lineRule="auto"/>
    </w:pPr>
    <w:rPr>
      <w:rFonts w:ascii="黑体" w:eastAsia="黑体"/>
      <w:sz w:val="32"/>
      <w:szCs w:val="32"/>
    </w:rPr>
  </w:style>
  <w:style w:type="paragraph" w:styleId="1260">
    <w:name w:val="06正文"/>
    <w:basedOn w:val="920"/>
    <w:next w:val="1260"/>
    <w:link w:val="920"/>
    <w:qFormat/>
    <w:pPr>
      <w:ind w:firstLine="420"/>
      <w:spacing w:line="360" w:lineRule="auto"/>
      <w:widowControl/>
    </w:pPr>
    <w:rPr>
      <w:rFonts w:ascii="宋体" w:hAnsi="宋体"/>
      <w:szCs w:val="21"/>
    </w:rPr>
  </w:style>
  <w:style w:type="paragraph" w:styleId="1261">
    <w:name w:val="首行缩进"/>
    <w:basedOn w:val="920"/>
    <w:next w:val="1261"/>
    <w:link w:val="920"/>
    <w:qFormat/>
    <w:pPr>
      <w:ind w:firstLine="480"/>
    </w:pPr>
    <w:rPr>
      <w:rFonts w:ascii="Calibri" w:hAnsi="Calibri"/>
      <w:lang w:val="zh-CN"/>
    </w:rPr>
  </w:style>
  <w:style w:type="paragraph" w:styleId="1262">
    <w:name w:val="列表段落1"/>
    <w:basedOn w:val="920"/>
    <w:next w:val="1262"/>
    <w:link w:val="920"/>
    <w:uiPriority w:val="34"/>
    <w:qFormat/>
    <w:pPr>
      <w:ind w:firstLine="420"/>
    </w:pPr>
  </w:style>
  <w:style w:type="paragraph" w:styleId="1263">
    <w:name w:val="_正文段落"/>
    <w:basedOn w:val="920"/>
    <w:next w:val="1263"/>
    <w:link w:val="920"/>
    <w:qFormat/>
    <w:pPr>
      <w:ind w:firstLine="480"/>
      <w:spacing w:line="360" w:lineRule="auto"/>
    </w:pPr>
    <w:rPr>
      <w:rFonts w:ascii="宋体" w:hAnsi="宋体" w:eastAsia="宋体"/>
      <w:sz w:val="24"/>
      <w:szCs w:val="24"/>
    </w:rPr>
  </w:style>
  <w:style w:type="paragraph" w:styleId="1264">
    <w:name w:val="WPSOffice手动目录 1"/>
    <w:next w:val="1264"/>
    <w:link w:val="920"/>
    <w:rPr>
      <w:lang w:val="en-US" w:eastAsia="zh-CN" w:bidi="ar-SA"/>
    </w:rPr>
  </w:style>
  <w:style w:type="paragraph" w:styleId="1265">
    <w:name w:val="Normal1"/>
    <w:next w:val="1265"/>
    <w:link w:val="920"/>
    <w:qFormat/>
    <w:pPr>
      <w:jc w:val="both"/>
      <w:widowControl w:val="off"/>
    </w:pPr>
    <w:rPr>
      <w:sz w:val="21"/>
      <w:szCs w:val="22"/>
      <w:lang w:val="en-US" w:eastAsia="zh-CN" w:bidi="ar-SA"/>
    </w:rPr>
  </w:style>
  <w:style w:type="paragraph" w:styleId="1266">
    <w:name w:val="Heading 1_0"/>
    <w:next w:val="1266"/>
    <w:link w:val="920"/>
    <w:uiPriority w:val="99"/>
    <w:qFormat/>
    <w:pPr>
      <w:keepLines/>
      <w:keepNext/>
      <w:spacing w:before="340" w:after="330" w:line="576" w:lineRule="auto"/>
      <w:outlineLvl w:val="0"/>
    </w:pPr>
    <w:rPr>
      <w:rFonts w:cs="等线"/>
      <w:b/>
      <w:sz w:val="44"/>
      <w:lang w:val="en-US" w:eastAsia="zh-CN" w:bidi="ar-SA"/>
    </w:rPr>
  </w:style>
  <w:style w:type="paragraph" w:styleId="1267">
    <w:name w:val="Heading 41"/>
    <w:next w:val="1267"/>
    <w:link w:val="920"/>
    <w:uiPriority w:val="99"/>
    <w:qFormat/>
    <w:pPr>
      <w:keepLines/>
      <w:keepNext/>
      <w:spacing w:before="280" w:after="290" w:line="376" w:lineRule="auto"/>
      <w:outlineLvl w:val="3"/>
    </w:pPr>
    <w:rPr>
      <w:rFonts w:ascii="Arial" w:hAnsi="Arial" w:eastAsia="黑体" w:cs="等线"/>
      <w:b/>
      <w:bCs/>
      <w:sz w:val="28"/>
      <w:szCs w:val="28"/>
      <w:lang w:val="en-US" w:eastAsia="zh-CN" w:bidi="ar-SA"/>
    </w:rPr>
  </w:style>
  <w:style w:type="paragraph" w:styleId="1268">
    <w:name w:val="正文3"/>
    <w:next w:val="1268"/>
    <w:link w:val="920"/>
    <w:uiPriority w:val="99"/>
    <w:qFormat/>
    <w:pPr>
      <w:jc w:val="both"/>
      <w:widowControl w:val="off"/>
    </w:pPr>
    <w:rPr>
      <w:sz w:val="21"/>
      <w:szCs w:val="22"/>
      <w:lang w:val="en-US" w:eastAsia="zh-CN" w:bidi="ar-SA"/>
    </w:rPr>
  </w:style>
  <w:style w:type="paragraph" w:styleId="1269">
    <w:name w:val="正文_1_0_0_0"/>
    <w:next w:val="1269"/>
    <w:link w:val="920"/>
    <w:uiPriority w:val="99"/>
    <w:qFormat/>
    <w:pPr>
      <w:jc w:val="both"/>
      <w:widowControl w:val="off"/>
    </w:pPr>
    <w:rPr>
      <w:rFonts w:ascii="宋体"/>
      <w:sz w:val="21"/>
      <w:szCs w:val="24"/>
      <w:lang w:val="en-US" w:eastAsia="zh-CN" w:bidi="ar-SA"/>
    </w:rPr>
  </w:style>
  <w:style w:type="paragraph" w:styleId="1270">
    <w:name w:val="正文_0_0"/>
    <w:next w:val="1270"/>
    <w:link w:val="920"/>
    <w:uiPriority w:val="99"/>
    <w:qFormat/>
    <w:pPr>
      <w:jc w:val="both"/>
      <w:widowControl w:val="off"/>
    </w:pPr>
    <w:rPr>
      <w:sz w:val="21"/>
      <w:szCs w:val="22"/>
      <w:lang w:val="en-US" w:eastAsia="zh-CN" w:bidi="ar-SA"/>
    </w:rPr>
  </w:style>
  <w:style w:type="paragraph" w:styleId="1271">
    <w:name w:val="标题 2_0_0"/>
    <w:basedOn w:val="1272"/>
    <w:next w:val="1270"/>
    <w:link w:val="920"/>
    <w:uiPriority w:val="99"/>
    <w:qFormat/>
    <w:pPr>
      <w:keepLines/>
      <w:keepNext/>
      <w:spacing w:before="120" w:after="120" w:line="360" w:lineRule="auto"/>
      <w:outlineLvl w:val="1"/>
    </w:pPr>
    <w:rPr>
      <w:rFonts w:ascii="黑体" w:hAnsi="宋体" w:eastAsia="黑体" w:cs="等线"/>
      <w:sz w:val="30"/>
      <w:szCs w:val="30"/>
    </w:rPr>
  </w:style>
  <w:style w:type="paragraph" w:styleId="1272">
    <w:name w:val="标题_0_0"/>
    <w:basedOn w:val="1270"/>
    <w:next w:val="1270"/>
    <w:link w:val="920"/>
    <w:qFormat/>
    <w:pPr>
      <w:jc w:val="center"/>
      <w:spacing w:before="240" w:after="60"/>
      <w:outlineLvl w:val="0"/>
    </w:pPr>
    <w:rPr>
      <w:rFonts w:ascii="Cambria" w:hAnsi="Cambria"/>
      <w:b/>
      <w:bCs/>
      <w:sz w:val="32"/>
      <w:szCs w:val="32"/>
    </w:rPr>
  </w:style>
  <w:style w:type="character" w:styleId="1273" w:default="1">
    <w:name w:val="Default Paragraph Font"/>
    <w:uiPriority w:val="1"/>
    <w:semiHidden/>
    <w:unhideWhenUsed/>
  </w:style>
  <w:style w:type="numbering" w:styleId="1274" w:default="1">
    <w:name w:val="No List"/>
    <w:uiPriority w:val="99"/>
    <w:semiHidden/>
    <w:unhideWhenUsed/>
  </w:style>
  <w:style w:type="table" w:styleId="12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26"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21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22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7"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01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95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740" TargetMode="External"/><Relationship Id="rId19" Type="http://schemas.openxmlformats.org/officeDocument/2006/relationships/hyperlink" Target="http://www.szweikang.xn--com-6y3ba7cbgc4097e4kax19cqoerohxod7w1bva254sga6035lg4sc/" TargetMode="External"/><Relationship Id="rId20" Type="http://schemas.openxmlformats.org/officeDocument/2006/relationships/hyperlink" Target="http://www.hbsafety.cn/article/63/" TargetMode="External"/><Relationship Id="rId21" Type="http://schemas.openxmlformats.org/officeDocument/2006/relationships/hyperlink" Target="http://www.hbsafety.cn/article/33/" TargetMode="External"/><Relationship Id="rId22" Type="http://schemas.openxmlformats.org/officeDocument/2006/relationships/hyperlink" Target="http://www.hbsafety.cn/article/33/" TargetMode="External"/><Relationship Id="rId23" Type="http://schemas.openxmlformats.org/officeDocument/2006/relationships/hyperlink" Target="http://www.hbsafety.cn/article/33/" TargetMode="External"/><Relationship Id="rId24" Type="http://schemas.openxmlformats.org/officeDocument/2006/relationships/hyperlink" Target="http://www.hbsafety.cn/article/33/" TargetMode="External"/><Relationship Id="rId25" Type="http://schemas.openxmlformats.org/officeDocument/2006/relationships/hyperlink" Target="http://www.hbsafety.cn/article/12/" TargetMode="External"/><Relationship Id="rId26" Type="http://schemas.openxmlformats.org/officeDocument/2006/relationships/hyperlink" Target="http://www.hbsafety.cn/article/33/" TargetMode="External"/><Relationship Id="rId27" Type="http://schemas.openxmlformats.org/officeDocument/2006/relationships/hyperlink" Target="http://www.hbsafety.cn/article/63/" TargetMode="External"/><Relationship Id="rId28" Type="http://schemas.openxmlformats.org/officeDocument/2006/relationships/hyperlink" Target="http://www.hbsafety.cn/article/3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俞莉</cp:lastModifiedBy>
  <cp:revision>3</cp:revision>
  <dcterms:created xsi:type="dcterms:W3CDTF">2024-02-27T08:52:00Z</dcterms:created>
  <dcterms:modified xsi:type="dcterms:W3CDTF">2026-05-29T07:54:51Z</dcterms:modified>
</cp:coreProperties>
</file>